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4FC" w14:textId="77777777" w:rsidR="00924F59" w:rsidRDefault="00924F59" w:rsidP="00924F59">
      <w:pPr>
        <w:jc w:val="right"/>
        <w:rPr>
          <w:color w:val="4472C4" w:themeColor="accent1"/>
          <w:sz w:val="36"/>
          <w:szCs w:val="36"/>
        </w:rPr>
      </w:pPr>
      <w:r>
        <w:rPr>
          <w:rFonts w:ascii="Calibri" w:hAnsi="Calibri" w:cs="Calibri"/>
          <w:b/>
          <w:bCs/>
          <w:noProof/>
          <w:color w:val="0070C0"/>
          <w:sz w:val="28"/>
          <w:szCs w:val="28"/>
        </w:rPr>
        <w:drawing>
          <wp:inline distT="0" distB="0" distL="0" distR="0" wp14:anchorId="1FE758AC" wp14:editId="0941799B">
            <wp:extent cx="1721031" cy="1128889"/>
            <wp:effectExtent l="0" t="0" r="0" b="1905"/>
            <wp:docPr id="1726906836" name="Picture 1726906836"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circle with whit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0926" cy="1161617"/>
                    </a:xfrm>
                    <a:prstGeom prst="rect">
                      <a:avLst/>
                    </a:prstGeom>
                    <a:noFill/>
                    <a:ln>
                      <a:noFill/>
                    </a:ln>
                  </pic:spPr>
                </pic:pic>
              </a:graphicData>
            </a:graphic>
          </wp:inline>
        </w:drawing>
      </w:r>
    </w:p>
    <w:p w14:paraId="2DF0AD69" w14:textId="77777777" w:rsidR="00924F59" w:rsidRDefault="00924F59" w:rsidP="00924F59">
      <w:pPr>
        <w:rPr>
          <w:color w:val="4472C4" w:themeColor="accent1"/>
          <w:sz w:val="36"/>
          <w:szCs w:val="36"/>
        </w:rPr>
      </w:pPr>
    </w:p>
    <w:p w14:paraId="05396446" w14:textId="77777777" w:rsidR="00924F59" w:rsidRPr="006D3B50" w:rsidRDefault="00924F59" w:rsidP="00924F59">
      <w:pPr>
        <w:rPr>
          <w:color w:val="4472C4" w:themeColor="accent1"/>
          <w:sz w:val="36"/>
          <w:szCs w:val="36"/>
        </w:rPr>
      </w:pPr>
      <w:r w:rsidRPr="006D3B50">
        <w:rPr>
          <w:color w:val="4472C4" w:themeColor="accent1"/>
          <w:sz w:val="36"/>
          <w:szCs w:val="36"/>
        </w:rPr>
        <w:t xml:space="preserve">Fair Work Guidance </w:t>
      </w:r>
    </w:p>
    <w:p w14:paraId="05C87DB7" w14:textId="77777777" w:rsidR="00924F59" w:rsidRPr="006D3B50" w:rsidRDefault="00924F59" w:rsidP="00924F59">
      <w:pPr>
        <w:rPr>
          <w:color w:val="4472C4" w:themeColor="accent1"/>
          <w:sz w:val="36"/>
          <w:szCs w:val="36"/>
        </w:rPr>
      </w:pPr>
      <w:r>
        <w:rPr>
          <w:color w:val="4472C4" w:themeColor="accent1"/>
          <w:sz w:val="36"/>
          <w:szCs w:val="36"/>
        </w:rPr>
        <w:t xml:space="preserve">RFO </w:t>
      </w:r>
      <w:r w:rsidRPr="006D3B50">
        <w:rPr>
          <w:color w:val="4472C4" w:themeColor="accent1"/>
          <w:sz w:val="36"/>
          <w:szCs w:val="36"/>
        </w:rPr>
        <w:t>Implementation 202</w:t>
      </w:r>
      <w:r>
        <w:rPr>
          <w:color w:val="4472C4" w:themeColor="accent1"/>
          <w:sz w:val="36"/>
          <w:szCs w:val="36"/>
        </w:rPr>
        <w:t>4-25</w:t>
      </w:r>
    </w:p>
    <w:p w14:paraId="778B965E" w14:textId="77777777" w:rsidR="00924F59" w:rsidRDefault="00924F59" w:rsidP="00924F59"/>
    <w:p w14:paraId="41147987" w14:textId="77777777" w:rsidR="00924F59" w:rsidRDefault="00924F59" w:rsidP="00924F59"/>
    <w:p w14:paraId="498700BE" w14:textId="77777777" w:rsidR="00924F59" w:rsidRPr="0059497B" w:rsidRDefault="00924F59" w:rsidP="00924F59">
      <w:pPr>
        <w:rPr>
          <w:rFonts w:cstheme="minorHAnsi"/>
        </w:rPr>
      </w:pPr>
      <w:r w:rsidRPr="0059497B">
        <w:rPr>
          <w:rFonts w:cstheme="minorHAnsi"/>
        </w:rPr>
        <w:t>Dear colleague,</w:t>
      </w:r>
    </w:p>
    <w:p w14:paraId="5B34448D" w14:textId="77777777" w:rsidR="00924F59" w:rsidRPr="0059497B" w:rsidRDefault="00924F59" w:rsidP="00924F59">
      <w:pPr>
        <w:rPr>
          <w:rFonts w:cstheme="minorHAnsi"/>
        </w:rPr>
      </w:pPr>
    </w:p>
    <w:p w14:paraId="7F36B2A8" w14:textId="77777777" w:rsidR="00924F59" w:rsidRPr="006665EF" w:rsidRDefault="00924F59" w:rsidP="00924F59">
      <w:pPr>
        <w:rPr>
          <w:rFonts w:cstheme="minorHAnsi"/>
        </w:rPr>
      </w:pPr>
      <w:r w:rsidRPr="0059497B">
        <w:rPr>
          <w:rFonts w:cstheme="minorHAnsi"/>
        </w:rPr>
        <w:t>I am writing to</w:t>
      </w:r>
      <w:r w:rsidRPr="006665EF">
        <w:rPr>
          <w:rFonts w:cstheme="minorHAnsi"/>
        </w:rPr>
        <w:t xml:space="preserve"> le</w:t>
      </w:r>
      <w:r w:rsidRPr="0059497B">
        <w:rPr>
          <w:rFonts w:cstheme="minorHAnsi"/>
        </w:rPr>
        <w:t xml:space="preserve">t you know you that Creative Scotland contracts for RFO funding for the financial year 2024-25 will be dependent on organisations meeting the conditions of the Scottish Government’s Fair Work guidance. </w:t>
      </w:r>
    </w:p>
    <w:p w14:paraId="7070C446" w14:textId="77777777" w:rsidR="00924F59" w:rsidRPr="0059497B" w:rsidRDefault="00924F59" w:rsidP="00924F59">
      <w:pPr>
        <w:rPr>
          <w:rFonts w:cstheme="minorHAnsi"/>
        </w:rPr>
      </w:pPr>
    </w:p>
    <w:p w14:paraId="3126AB57" w14:textId="77777777" w:rsidR="00924F59" w:rsidRPr="0059497B" w:rsidRDefault="00924F59" w:rsidP="00924F59">
      <w:pPr>
        <w:rPr>
          <w:rFonts w:cstheme="minorHAnsi"/>
        </w:rPr>
      </w:pPr>
      <w:r w:rsidRPr="0059497B">
        <w:rPr>
          <w:rFonts w:cstheme="minorHAnsi"/>
        </w:rPr>
        <w:t xml:space="preserve">Fair Work First is the Scottish Government's policy for driving high quality and fair work, across the labour market in Scotland. Since 2021, Fair Work has been one of Creative Scotland’s four Strategic Priorities and is now one of our six Fund Criteria which guide our funding programmes. </w:t>
      </w:r>
    </w:p>
    <w:p w14:paraId="3387F076" w14:textId="77777777" w:rsidR="00924F59" w:rsidRPr="0059497B" w:rsidRDefault="00924F59" w:rsidP="00924F59">
      <w:pPr>
        <w:rPr>
          <w:rFonts w:cstheme="minorHAnsi"/>
        </w:rPr>
      </w:pPr>
    </w:p>
    <w:p w14:paraId="0120C021" w14:textId="45254D85" w:rsidR="00924F59" w:rsidRPr="0059497B" w:rsidRDefault="00924F59" w:rsidP="00924F59">
      <w:pPr>
        <w:rPr>
          <w:rFonts w:cstheme="minorHAnsi"/>
        </w:rPr>
      </w:pPr>
      <w:r w:rsidRPr="0059497B">
        <w:rPr>
          <w:rFonts w:cstheme="minorHAnsi"/>
        </w:rPr>
        <w:t>From 1</w:t>
      </w:r>
      <w:r w:rsidRPr="0059497B">
        <w:rPr>
          <w:rFonts w:cstheme="minorHAnsi"/>
          <w:vertAlign w:val="superscript"/>
        </w:rPr>
        <w:t>st</w:t>
      </w:r>
      <w:r w:rsidRPr="0059497B">
        <w:rPr>
          <w:rFonts w:cstheme="minorHAnsi"/>
        </w:rPr>
        <w:t xml:space="preserve"> July 2023 all funding awards of Scottish Government Grant-in-Aid funds have been required to meet the conditions of Scottish Government guidance, </w:t>
      </w:r>
      <w:hyperlink r:id="rId6" w:history="1">
        <w:r w:rsidR="003D343D">
          <w:rPr>
            <w:rStyle w:val="Hyperlink"/>
            <w:rFonts w:cstheme="minorHAnsi"/>
          </w:rPr>
          <w:t>available on the Scottish Government website</w:t>
        </w:r>
      </w:hyperlink>
      <w:r w:rsidRPr="0059497B">
        <w:rPr>
          <w:rFonts w:cstheme="minorHAnsi"/>
        </w:rPr>
        <w:t xml:space="preserve">. The guidance stipulates that: </w:t>
      </w:r>
    </w:p>
    <w:p w14:paraId="60775C9F" w14:textId="77777777" w:rsidR="00924F59" w:rsidRPr="0059497B" w:rsidRDefault="00924F59" w:rsidP="00924F59">
      <w:pPr>
        <w:rPr>
          <w:rFonts w:cstheme="minorHAnsi"/>
        </w:rPr>
      </w:pPr>
    </w:p>
    <w:p w14:paraId="5E29272A" w14:textId="3CC4B373" w:rsidR="00924F59" w:rsidRPr="0059497B" w:rsidRDefault="00AD6055" w:rsidP="00924F59">
      <w:pPr>
        <w:pStyle w:val="ListParagraph"/>
        <w:numPr>
          <w:ilvl w:val="0"/>
          <w:numId w:val="1"/>
        </w:numPr>
        <w:rPr>
          <w:rFonts w:cstheme="minorHAnsi"/>
        </w:rPr>
      </w:pPr>
      <w:r>
        <w:rPr>
          <w:rFonts w:cstheme="minorHAnsi"/>
        </w:rPr>
        <w:t>In general, a</w:t>
      </w:r>
      <w:r w:rsidR="00924F59" w:rsidRPr="0059497B">
        <w:rPr>
          <w:rFonts w:cstheme="minorHAnsi"/>
        </w:rPr>
        <w:t xml:space="preserve"> grant recipient must demonstrate it is paying at least the Real Living Wage before it can access a grant. This applies to:</w:t>
      </w:r>
    </w:p>
    <w:p w14:paraId="6BD04EAC" w14:textId="77777777" w:rsidR="00924F59" w:rsidRPr="0059497B" w:rsidRDefault="00924F59" w:rsidP="00924F59">
      <w:pPr>
        <w:ind w:left="1080"/>
        <w:rPr>
          <w:rFonts w:cstheme="minorHAnsi"/>
        </w:rPr>
      </w:pPr>
      <w:r w:rsidRPr="0059497B">
        <w:rPr>
          <w:rFonts w:cstheme="minorHAnsi"/>
        </w:rPr>
        <w:t>- All UK-based staff aged 16 and over, including apprentices, who are directly employed by the grant recipient</w:t>
      </w:r>
    </w:p>
    <w:p w14:paraId="31670336" w14:textId="77777777" w:rsidR="00924F59" w:rsidRDefault="00924F59" w:rsidP="00924F59">
      <w:pPr>
        <w:ind w:left="1080"/>
        <w:rPr>
          <w:rFonts w:cstheme="minorHAnsi"/>
          <w:lang w:val="en-US"/>
        </w:rPr>
      </w:pPr>
      <w:r w:rsidRPr="0059497B">
        <w:rPr>
          <w:rFonts w:cstheme="minorHAnsi"/>
        </w:rPr>
        <w:t xml:space="preserve">- </w:t>
      </w:r>
      <w:r w:rsidRPr="0059497B">
        <w:rPr>
          <w:rFonts w:cstheme="minorHAnsi"/>
          <w:lang w:val="en-US"/>
        </w:rPr>
        <w:t>Any UK-based workers who are not directly employed but are directly engaged in delivering the grant-funded activity, whether they be sub-contractors or agency staff</w:t>
      </w:r>
    </w:p>
    <w:p w14:paraId="57F309A7" w14:textId="6D917F4B" w:rsidR="00924F59" w:rsidRPr="0059497B" w:rsidRDefault="00924F59" w:rsidP="00924F59">
      <w:pPr>
        <w:rPr>
          <w:rFonts w:cstheme="minorHAnsi"/>
          <w:lang w:val="en-US"/>
        </w:rPr>
      </w:pPr>
      <w:r>
        <w:rPr>
          <w:rFonts w:cstheme="minorHAnsi"/>
          <w:lang w:val="en-US"/>
        </w:rPr>
        <w:tab/>
        <w:t xml:space="preserve">More details about the Real Living Wage can be found </w:t>
      </w:r>
      <w:hyperlink r:id="rId7" w:history="1">
        <w:r w:rsidR="003D343D">
          <w:rPr>
            <w:rStyle w:val="Hyperlink"/>
            <w:rFonts w:cstheme="minorHAnsi"/>
            <w:lang w:val="en-US"/>
          </w:rPr>
          <w:t>on the Living Wage Scotland website</w:t>
        </w:r>
      </w:hyperlink>
      <w:r>
        <w:rPr>
          <w:rFonts w:cstheme="minorHAnsi"/>
          <w:lang w:val="en-US"/>
        </w:rPr>
        <w:t>.</w:t>
      </w:r>
    </w:p>
    <w:p w14:paraId="21C6401C" w14:textId="77777777" w:rsidR="00924F59" w:rsidRPr="0059497B" w:rsidRDefault="00924F59" w:rsidP="00924F59">
      <w:pPr>
        <w:rPr>
          <w:rFonts w:cstheme="minorHAnsi"/>
        </w:rPr>
      </w:pPr>
    </w:p>
    <w:p w14:paraId="4D962FFD" w14:textId="77777777" w:rsidR="00924F59" w:rsidRPr="0059497B" w:rsidRDefault="00924F59" w:rsidP="00924F59">
      <w:pPr>
        <w:pStyle w:val="ListParagraph"/>
        <w:numPr>
          <w:ilvl w:val="0"/>
          <w:numId w:val="1"/>
        </w:numPr>
        <w:rPr>
          <w:rFonts w:cstheme="minorHAnsi"/>
        </w:rPr>
      </w:pPr>
      <w:r w:rsidRPr="0059497B">
        <w:rPr>
          <w:rFonts w:cstheme="minorHAnsi"/>
        </w:rPr>
        <w:t>All organisations with a workforce must be able to demonstrate, before they can access a grant, that all workers employed within that organisation have access to effective voice channels.</w:t>
      </w:r>
      <w:r w:rsidRPr="0059497B">
        <w:rPr>
          <w:rFonts w:cstheme="minorHAnsi"/>
          <w:color w:val="3A3A3A"/>
          <w:shd w:val="clear" w:color="auto" w:fill="FFFFFF"/>
        </w:rPr>
        <w:t xml:space="preserve"> </w:t>
      </w:r>
      <w:r w:rsidRPr="00E453D5">
        <w:rPr>
          <w:rFonts w:cstheme="minorHAnsi"/>
          <w:color w:val="000000" w:themeColor="text1"/>
          <w:shd w:val="clear" w:color="auto" w:fill="FFFFFF"/>
        </w:rPr>
        <w:t>Effective voice can include approaches to trade union recognition and collective bargaining</w:t>
      </w:r>
      <w:r>
        <w:rPr>
          <w:rFonts w:cstheme="minorHAnsi"/>
          <w:color w:val="000000" w:themeColor="text1"/>
          <w:shd w:val="clear" w:color="auto" w:fill="FFFFFF"/>
        </w:rPr>
        <w:t xml:space="preserve"> as well as </w:t>
      </w:r>
      <w:r w:rsidRPr="00E453D5">
        <w:rPr>
          <w:rFonts w:cstheme="minorHAnsi"/>
          <w:color w:val="000000" w:themeColor="text1"/>
          <w:shd w:val="clear" w:color="auto" w:fill="FFFFFF"/>
        </w:rPr>
        <w:t xml:space="preserve">communication and consultation arrangements and procedures that </w:t>
      </w:r>
      <w:r>
        <w:rPr>
          <w:rFonts w:cstheme="minorHAnsi"/>
          <w:color w:val="000000" w:themeColor="text1"/>
          <w:shd w:val="clear" w:color="auto" w:fill="FFFFFF"/>
        </w:rPr>
        <w:t>allow</w:t>
      </w:r>
      <w:r w:rsidRPr="00E453D5">
        <w:rPr>
          <w:rFonts w:cstheme="minorHAnsi"/>
          <w:color w:val="000000" w:themeColor="text1"/>
          <w:shd w:val="clear" w:color="auto" w:fill="FFFFFF"/>
        </w:rPr>
        <w:t xml:space="preserve"> individuals and groups to air their views, be listened to and influence outcomes.</w:t>
      </w:r>
    </w:p>
    <w:p w14:paraId="15BBD122" w14:textId="77777777" w:rsidR="00924F59" w:rsidRPr="0059497B" w:rsidRDefault="00924F59" w:rsidP="00924F59">
      <w:pPr>
        <w:rPr>
          <w:rFonts w:cstheme="minorHAnsi"/>
        </w:rPr>
      </w:pPr>
    </w:p>
    <w:p w14:paraId="6152BF1F" w14:textId="3C868F79" w:rsidR="00924F59" w:rsidRPr="0059497B" w:rsidRDefault="00924F59" w:rsidP="00924F59">
      <w:pPr>
        <w:rPr>
          <w:rFonts w:cstheme="minorHAnsi"/>
        </w:rPr>
      </w:pPr>
      <w:r w:rsidRPr="0059497B">
        <w:rPr>
          <w:rFonts w:cstheme="minorHAnsi"/>
          <w:b/>
          <w:bCs/>
        </w:rPr>
        <w:t>Appendix 1</w:t>
      </w:r>
      <w:r w:rsidRPr="0059497B">
        <w:rPr>
          <w:rFonts w:cstheme="minorHAnsi"/>
        </w:rPr>
        <w:t xml:space="preserve"> sets out more detail on how funded organisations can demonstrate that they meet these two conditions.</w:t>
      </w:r>
    </w:p>
    <w:p w14:paraId="3E7AE3D3" w14:textId="77777777" w:rsidR="00924F59" w:rsidRPr="0059497B" w:rsidRDefault="00924F59" w:rsidP="00924F59">
      <w:pPr>
        <w:rPr>
          <w:rFonts w:cstheme="minorHAnsi"/>
        </w:rPr>
      </w:pPr>
    </w:p>
    <w:p w14:paraId="0B82EE25" w14:textId="4AC9B6DC" w:rsidR="00924F59" w:rsidRPr="0059497B" w:rsidRDefault="00924F59" w:rsidP="00924F59">
      <w:pPr>
        <w:rPr>
          <w:rFonts w:eastAsia="Times New Roman" w:cstheme="minorHAnsi"/>
          <w:color w:val="212121"/>
          <w:lang w:eastAsia="en-GB"/>
        </w:rPr>
      </w:pPr>
      <w:r w:rsidRPr="0059497B">
        <w:rPr>
          <w:rFonts w:cstheme="minorHAnsi"/>
        </w:rPr>
        <w:t xml:space="preserve">In line with this </w:t>
      </w:r>
      <w:r w:rsidR="0028690A" w:rsidRPr="0059497B">
        <w:rPr>
          <w:rFonts w:cstheme="minorHAnsi"/>
        </w:rPr>
        <w:t>guidance,</w:t>
      </w:r>
      <w:r w:rsidRPr="0059497B">
        <w:rPr>
          <w:rFonts w:cstheme="minorHAnsi"/>
        </w:rPr>
        <w:t xml:space="preserve"> we will need to ask RFOs to confirm that both payment of the Real Living Wage and Effective Voice are in place in your organisation. We will require you to complete a short pro forma and return this by the end of March 2024. This is included at </w:t>
      </w:r>
      <w:r w:rsidRPr="0059497B">
        <w:rPr>
          <w:rFonts w:cstheme="minorHAnsi"/>
          <w:b/>
          <w:bCs/>
        </w:rPr>
        <w:t>Appendix 2</w:t>
      </w:r>
      <w:r>
        <w:rPr>
          <w:rFonts w:cstheme="minorHAnsi"/>
          <w:b/>
          <w:bCs/>
        </w:rPr>
        <w:t>,</w:t>
      </w:r>
      <w:r w:rsidRPr="0059497B">
        <w:rPr>
          <w:rFonts w:cstheme="minorHAnsi"/>
        </w:rPr>
        <w:t xml:space="preserve"> and we will </w:t>
      </w:r>
      <w:r>
        <w:rPr>
          <w:rFonts w:cstheme="minorHAnsi"/>
        </w:rPr>
        <w:t xml:space="preserve">be in touch </w:t>
      </w:r>
      <w:r w:rsidR="00BD5281">
        <w:rPr>
          <w:rFonts w:cstheme="minorHAnsi"/>
        </w:rPr>
        <w:t xml:space="preserve">nearer the time </w:t>
      </w:r>
      <w:r>
        <w:rPr>
          <w:rFonts w:cstheme="minorHAnsi"/>
        </w:rPr>
        <w:t xml:space="preserve">to request completion. </w:t>
      </w:r>
    </w:p>
    <w:p w14:paraId="38F6C8C6" w14:textId="2F7E6C0F" w:rsidR="00924F59" w:rsidRPr="0059497B" w:rsidRDefault="00924F59" w:rsidP="00924F59">
      <w:pPr>
        <w:pStyle w:val="NormalWeb"/>
        <w:shd w:val="clear" w:color="auto" w:fill="FFFFFF"/>
        <w:rPr>
          <w:rFonts w:asciiTheme="minorHAnsi" w:hAnsiTheme="minorHAnsi" w:cstheme="minorHAnsi"/>
        </w:rPr>
      </w:pPr>
      <w:r w:rsidRPr="0059497B">
        <w:rPr>
          <w:rFonts w:asciiTheme="minorHAnsi" w:hAnsiTheme="minorHAnsi" w:cstheme="minorHAnsi"/>
        </w:rPr>
        <w:t xml:space="preserve">The Scottish Government also ask that grant recipients include a ‘short joint statement on their website’ highlighting their commitment to advancing the Fair Work First criteria, including the real Living Wage and Effective Voice conditions. </w:t>
      </w:r>
      <w:hyperlink r:id="rId8" w:anchor=":~:text=Creative%20Scotland%20is%20committed%20to%20the%20Scottish%20Government%E2%80%99s,Scotland%20a%20flexible%20and%20dynamic%20place%20to%20work." w:history="1">
        <w:r w:rsidR="003D343D">
          <w:rPr>
            <w:rStyle w:val="Hyperlink"/>
            <w:rFonts w:asciiTheme="minorHAnsi" w:hAnsiTheme="minorHAnsi" w:cstheme="minorHAnsi"/>
          </w:rPr>
          <w:t>Read Creative Scotland's own statement</w:t>
        </w:r>
      </w:hyperlink>
      <w:r w:rsidRPr="0059497B">
        <w:rPr>
          <w:rFonts w:asciiTheme="minorHAnsi" w:hAnsiTheme="minorHAnsi" w:cstheme="minorHAnsi"/>
        </w:rPr>
        <w:t xml:space="preserve">. </w:t>
      </w:r>
    </w:p>
    <w:p w14:paraId="6E812AC5" w14:textId="77777777" w:rsidR="00924F59" w:rsidRPr="0059497B" w:rsidRDefault="00924F59" w:rsidP="00924F59">
      <w:pPr>
        <w:rPr>
          <w:rFonts w:cstheme="minorHAnsi"/>
        </w:rPr>
      </w:pPr>
      <w:r w:rsidRPr="0059497B">
        <w:rPr>
          <w:rFonts w:cstheme="minorHAnsi"/>
        </w:rPr>
        <w:t xml:space="preserve">We've gathered a range of tools and resources on our website to support progress on all aspects of Fair Work First. We have published </w:t>
      </w:r>
      <w:hyperlink r:id="rId9" w:history="1">
        <w:r w:rsidRPr="0059497B">
          <w:rPr>
            <w:rStyle w:val="Hyperlink"/>
            <w:rFonts w:cstheme="minorHAnsi"/>
          </w:rPr>
          <w:t>The Illustrated Fair Work Guide for the Creative and Cultural Sectors in Scotland</w:t>
        </w:r>
      </w:hyperlink>
      <w:r w:rsidRPr="0059497B">
        <w:rPr>
          <w:rFonts w:cstheme="minorHAnsi"/>
        </w:rPr>
        <w:t xml:space="preserve"> and specific guides for areas such as </w:t>
      </w:r>
      <w:hyperlink r:id="rId10" w:history="1">
        <w:r w:rsidRPr="0059497B">
          <w:rPr>
            <w:rStyle w:val="Hyperlink"/>
            <w:rFonts w:cstheme="minorHAnsi"/>
          </w:rPr>
          <w:t>Fairer Recruitment</w:t>
        </w:r>
      </w:hyperlink>
      <w:r w:rsidRPr="0059497B">
        <w:rPr>
          <w:rFonts w:cstheme="minorHAnsi"/>
        </w:rPr>
        <w:t xml:space="preserve"> and </w:t>
      </w:r>
      <w:hyperlink r:id="rId11" w:history="1">
        <w:r w:rsidRPr="0059497B">
          <w:rPr>
            <w:rStyle w:val="Hyperlink"/>
            <w:rFonts w:cstheme="minorHAnsi"/>
          </w:rPr>
          <w:t>Freelance Working</w:t>
        </w:r>
      </w:hyperlink>
      <w:r w:rsidRPr="0059497B">
        <w:rPr>
          <w:rFonts w:cstheme="minorHAnsi"/>
        </w:rPr>
        <w:t>.</w:t>
      </w:r>
    </w:p>
    <w:p w14:paraId="6C52B569" w14:textId="77777777" w:rsidR="00924F59" w:rsidRDefault="00924F59" w:rsidP="00924F59">
      <w:pPr>
        <w:rPr>
          <w:rFonts w:eastAsia="Times New Roman" w:cstheme="minorHAnsi"/>
          <w:color w:val="212121"/>
          <w:lang w:eastAsia="en-GB"/>
        </w:rPr>
      </w:pPr>
    </w:p>
    <w:p w14:paraId="3C066213" w14:textId="77777777" w:rsidR="00924F59" w:rsidRPr="00D02376" w:rsidRDefault="00924F59" w:rsidP="00924F59">
      <w:pPr>
        <w:rPr>
          <w:rFonts w:eastAsia="Times New Roman" w:cstheme="minorHAnsi"/>
          <w:color w:val="000000" w:themeColor="text1"/>
          <w:lang w:eastAsia="en-GB"/>
        </w:rPr>
      </w:pPr>
      <w:r w:rsidRPr="00D02376">
        <w:rPr>
          <w:rFonts w:eastAsia="Times New Roman" w:cstheme="minorHAnsi"/>
          <w:color w:val="000000" w:themeColor="text1"/>
          <w:lang w:eastAsia="en-GB"/>
        </w:rPr>
        <w:t xml:space="preserve">We are very aware that these changes come at a time of significant financial challenges in the creative and cultural sectors. While we will do all we can to assist you in meeting the Scottish Government requirements, we will need to ensure that they are met by all RFOs prior to </w:t>
      </w:r>
      <w:r>
        <w:rPr>
          <w:rFonts w:eastAsia="Times New Roman" w:cstheme="minorHAnsi"/>
          <w:color w:val="000000" w:themeColor="text1"/>
          <w:lang w:eastAsia="en-GB"/>
        </w:rPr>
        <w:t>contracting for</w:t>
      </w:r>
      <w:r w:rsidRPr="00D02376">
        <w:rPr>
          <w:rFonts w:eastAsia="Times New Roman" w:cstheme="minorHAnsi"/>
          <w:color w:val="000000" w:themeColor="text1"/>
          <w:lang w:eastAsia="en-GB"/>
        </w:rPr>
        <w:t xml:space="preserve"> 2024-25 </w:t>
      </w:r>
      <w:r>
        <w:rPr>
          <w:rFonts w:eastAsia="Times New Roman" w:cstheme="minorHAnsi"/>
          <w:color w:val="000000" w:themeColor="text1"/>
          <w:lang w:eastAsia="en-GB"/>
        </w:rPr>
        <w:t>funding</w:t>
      </w:r>
      <w:r w:rsidRPr="00D02376">
        <w:rPr>
          <w:rFonts w:eastAsia="Times New Roman" w:cstheme="minorHAnsi"/>
          <w:color w:val="000000" w:themeColor="text1"/>
          <w:lang w:eastAsia="en-GB"/>
        </w:rPr>
        <w:t>. Please do get in touch, either directly</w:t>
      </w:r>
      <w:r>
        <w:rPr>
          <w:rFonts w:eastAsia="Times New Roman" w:cstheme="minorHAnsi"/>
          <w:color w:val="000000" w:themeColor="text1"/>
          <w:lang w:eastAsia="en-GB"/>
        </w:rPr>
        <w:t xml:space="preserve"> or by e-mailing </w:t>
      </w:r>
      <w:hyperlink r:id="rId12" w:history="1">
        <w:r w:rsidRPr="00CF1418">
          <w:rPr>
            <w:rStyle w:val="Hyperlink"/>
            <w:rFonts w:eastAsia="Times New Roman" w:cstheme="minorHAnsi"/>
            <w:lang w:eastAsia="en-GB"/>
          </w:rPr>
          <w:t>fairwork@creativescotland.com</w:t>
        </w:r>
      </w:hyperlink>
      <w:r>
        <w:rPr>
          <w:rFonts w:eastAsia="Times New Roman" w:cstheme="minorHAnsi"/>
          <w:color w:val="000000" w:themeColor="text1"/>
          <w:lang w:eastAsia="en-GB"/>
        </w:rPr>
        <w:t xml:space="preserve"> </w:t>
      </w:r>
      <w:r w:rsidRPr="00D02376">
        <w:rPr>
          <w:rFonts w:eastAsia="Times New Roman" w:cstheme="minorHAnsi"/>
          <w:color w:val="000000" w:themeColor="text1"/>
          <w:lang w:eastAsia="en-GB"/>
        </w:rPr>
        <w:t xml:space="preserve">if you need any clarification or envisage difficulties with meeting these conditions. </w:t>
      </w:r>
    </w:p>
    <w:p w14:paraId="5BED4027" w14:textId="77777777" w:rsidR="00924F59" w:rsidRDefault="00924F59" w:rsidP="00924F59">
      <w:pPr>
        <w:rPr>
          <w:rFonts w:eastAsia="Times New Roman" w:cstheme="minorHAnsi"/>
          <w:color w:val="212121"/>
          <w:lang w:eastAsia="en-GB"/>
        </w:rPr>
      </w:pPr>
    </w:p>
    <w:p w14:paraId="37C2FC6C" w14:textId="77777777" w:rsidR="00924F59" w:rsidRPr="0059497B" w:rsidRDefault="00924F59" w:rsidP="00924F59">
      <w:pPr>
        <w:rPr>
          <w:rFonts w:cstheme="minorHAnsi"/>
        </w:rPr>
      </w:pPr>
    </w:p>
    <w:p w14:paraId="4E5A966C" w14:textId="77777777" w:rsidR="00924F59" w:rsidRPr="0059497B" w:rsidRDefault="00924F59" w:rsidP="00924F59">
      <w:pPr>
        <w:rPr>
          <w:rFonts w:cstheme="minorHAnsi"/>
          <w:b/>
          <w:bCs/>
        </w:rPr>
      </w:pPr>
    </w:p>
    <w:p w14:paraId="04498940" w14:textId="77777777" w:rsidR="00924F59" w:rsidRPr="0059497B" w:rsidRDefault="00924F59" w:rsidP="00924F59">
      <w:pPr>
        <w:rPr>
          <w:rFonts w:cstheme="minorHAnsi"/>
          <w:b/>
          <w:bCs/>
        </w:rPr>
      </w:pPr>
      <w:r w:rsidRPr="0059497B">
        <w:rPr>
          <w:rFonts w:cstheme="minorHAnsi"/>
          <w:b/>
          <w:bCs/>
        </w:rPr>
        <w:t>Alastair Evans</w:t>
      </w:r>
    </w:p>
    <w:p w14:paraId="142311D4" w14:textId="77777777" w:rsidR="00924F59" w:rsidRPr="0059497B" w:rsidRDefault="00924F59" w:rsidP="00924F59">
      <w:pPr>
        <w:rPr>
          <w:rFonts w:cstheme="minorHAnsi"/>
          <w:b/>
          <w:bCs/>
        </w:rPr>
      </w:pPr>
      <w:r w:rsidRPr="0059497B">
        <w:rPr>
          <w:rFonts w:cstheme="minorHAnsi"/>
          <w:b/>
          <w:bCs/>
        </w:rPr>
        <w:t>Director, Strategy and Planning</w:t>
      </w:r>
    </w:p>
    <w:p w14:paraId="206FA0A0" w14:textId="026D70B8" w:rsidR="00924F59" w:rsidRPr="0059497B" w:rsidRDefault="0028690A" w:rsidP="00924F59">
      <w:pPr>
        <w:rPr>
          <w:rFonts w:eastAsia="Times New Roman" w:cstheme="minorHAnsi"/>
          <w:b/>
          <w:bCs/>
          <w:color w:val="212121"/>
          <w:lang w:eastAsia="en-GB"/>
        </w:rPr>
      </w:pPr>
      <w:r>
        <w:rPr>
          <w:rFonts w:cstheme="minorHAnsi"/>
          <w:b/>
          <w:bCs/>
        </w:rPr>
        <w:t>Novem</w:t>
      </w:r>
      <w:r w:rsidR="00924F59" w:rsidRPr="0059497B">
        <w:rPr>
          <w:rFonts w:cstheme="minorHAnsi"/>
          <w:b/>
          <w:bCs/>
        </w:rPr>
        <w:t xml:space="preserve">ber 2023 </w:t>
      </w:r>
    </w:p>
    <w:p w14:paraId="7571CCD9" w14:textId="77777777" w:rsidR="00924F59" w:rsidRDefault="00924F59" w:rsidP="00924F59">
      <w:pPr>
        <w:rPr>
          <w:rFonts w:ascii="Calibri" w:eastAsia="Times New Roman" w:hAnsi="Calibri" w:cs="Calibri"/>
          <w:color w:val="212121"/>
          <w:lang w:eastAsia="en-GB"/>
        </w:rPr>
      </w:pPr>
    </w:p>
    <w:p w14:paraId="29CC9FE9" w14:textId="77777777" w:rsidR="00924F59" w:rsidRDefault="00924F59" w:rsidP="00924F59">
      <w:pPr>
        <w:rPr>
          <w:rFonts w:ascii="Calibri" w:eastAsia="Times New Roman" w:hAnsi="Calibri" w:cs="Calibri"/>
          <w:b/>
          <w:bCs/>
          <w:color w:val="212121"/>
          <w:lang w:eastAsia="en-GB"/>
        </w:rPr>
      </w:pPr>
      <w:r>
        <w:rPr>
          <w:rFonts w:ascii="Calibri" w:eastAsia="Times New Roman" w:hAnsi="Calibri" w:cs="Calibri"/>
          <w:b/>
          <w:bCs/>
          <w:color w:val="212121"/>
          <w:lang w:eastAsia="en-GB"/>
        </w:rPr>
        <w:br w:type="page"/>
      </w:r>
    </w:p>
    <w:p w14:paraId="2A1F89E2" w14:textId="77777777" w:rsidR="00924F59" w:rsidRPr="00951C31" w:rsidRDefault="00924F59" w:rsidP="00924F59">
      <w:pPr>
        <w:rPr>
          <w:rFonts w:ascii="Calibri" w:eastAsia="Times New Roman" w:hAnsi="Calibri" w:cs="Calibri"/>
          <w:b/>
          <w:bCs/>
          <w:color w:val="212121"/>
          <w:sz w:val="28"/>
          <w:szCs w:val="28"/>
          <w:lang w:eastAsia="en-GB"/>
        </w:rPr>
      </w:pPr>
      <w:r w:rsidRPr="00951C31">
        <w:rPr>
          <w:rFonts w:ascii="Calibri" w:eastAsia="Times New Roman" w:hAnsi="Calibri" w:cs="Calibri"/>
          <w:b/>
          <w:bCs/>
          <w:color w:val="212121"/>
          <w:sz w:val="28"/>
          <w:szCs w:val="28"/>
          <w:lang w:eastAsia="en-GB"/>
        </w:rPr>
        <w:lastRenderedPageBreak/>
        <w:t xml:space="preserve">Appendix </w:t>
      </w:r>
      <w:r>
        <w:rPr>
          <w:rFonts w:ascii="Calibri" w:eastAsia="Times New Roman" w:hAnsi="Calibri" w:cs="Calibri"/>
          <w:b/>
          <w:bCs/>
          <w:color w:val="212121"/>
          <w:sz w:val="28"/>
          <w:szCs w:val="28"/>
          <w:lang w:eastAsia="en-GB"/>
        </w:rPr>
        <w:t>1</w:t>
      </w:r>
      <w:r w:rsidRPr="00951C31">
        <w:rPr>
          <w:rFonts w:ascii="Calibri" w:eastAsia="Times New Roman" w:hAnsi="Calibri" w:cs="Calibri"/>
          <w:b/>
          <w:bCs/>
          <w:color w:val="212121"/>
          <w:sz w:val="28"/>
          <w:szCs w:val="28"/>
          <w:lang w:eastAsia="en-GB"/>
        </w:rPr>
        <w:t xml:space="preserve">: </w:t>
      </w:r>
      <w:r>
        <w:rPr>
          <w:rFonts w:ascii="Calibri" w:eastAsia="Times New Roman" w:hAnsi="Calibri" w:cs="Calibri"/>
          <w:b/>
          <w:bCs/>
          <w:color w:val="212121"/>
          <w:sz w:val="28"/>
          <w:szCs w:val="28"/>
          <w:lang w:eastAsia="en-GB"/>
        </w:rPr>
        <w:t xml:space="preserve">Scottish Government Fair Work Conditions (extract) </w:t>
      </w:r>
    </w:p>
    <w:p w14:paraId="16F96D95" w14:textId="77777777" w:rsidR="00924F59" w:rsidRDefault="00924F59" w:rsidP="00924F59">
      <w:pPr>
        <w:rPr>
          <w:rFonts w:ascii="Calibri" w:eastAsia="Times New Roman" w:hAnsi="Calibri" w:cs="Calibri"/>
          <w:color w:val="212121"/>
          <w:lang w:eastAsia="en-GB"/>
        </w:rPr>
      </w:pPr>
    </w:p>
    <w:p w14:paraId="79EDB5BB" w14:textId="77777777" w:rsidR="00924F59" w:rsidRDefault="00924F59" w:rsidP="00924F59">
      <w:pPr>
        <w:rPr>
          <w:rFonts w:ascii="Calibri" w:eastAsia="Times New Roman" w:hAnsi="Calibri" w:cs="Calibri"/>
          <w:color w:val="212121"/>
          <w:lang w:eastAsia="en-GB"/>
        </w:rPr>
      </w:pPr>
      <w:r>
        <w:rPr>
          <w:rFonts w:ascii="Calibri" w:eastAsia="Times New Roman" w:hAnsi="Calibri" w:cs="Calibri"/>
          <w:color w:val="212121"/>
          <w:lang w:eastAsia="en-GB"/>
        </w:rPr>
        <w:t xml:space="preserve">The Scottish Government guidance stipulates that: </w:t>
      </w:r>
    </w:p>
    <w:p w14:paraId="2F61C783" w14:textId="77777777" w:rsidR="00924F59" w:rsidRDefault="00924F59" w:rsidP="00924F59">
      <w:pPr>
        <w:rPr>
          <w:rFonts w:ascii="Calibri" w:eastAsia="Times New Roman" w:hAnsi="Calibri" w:cs="Calibri"/>
          <w:color w:val="212121"/>
          <w:lang w:eastAsia="en-GB"/>
        </w:rPr>
      </w:pPr>
    </w:p>
    <w:p w14:paraId="552FBABD" w14:textId="77777777" w:rsidR="00924F59" w:rsidRPr="00AD08F6" w:rsidRDefault="00924F59" w:rsidP="00924F59">
      <w:pPr>
        <w:rPr>
          <w:rFonts w:ascii="Calibri" w:eastAsia="Times New Roman" w:hAnsi="Calibri" w:cs="Calibri"/>
          <w:color w:val="212121"/>
          <w:lang w:eastAsia="en-GB"/>
        </w:rPr>
      </w:pPr>
      <w:r>
        <w:rPr>
          <w:rFonts w:ascii="Calibri" w:eastAsia="Times New Roman" w:hAnsi="Calibri" w:cs="Calibri"/>
          <w:color w:val="212121"/>
          <w:lang w:eastAsia="en-GB"/>
        </w:rPr>
        <w:t>‘</w:t>
      </w:r>
      <w:r w:rsidRPr="008C2B6B">
        <w:rPr>
          <w:rFonts w:ascii="Calibri" w:eastAsia="Times New Roman" w:hAnsi="Calibri" w:cs="Calibri"/>
          <w:color w:val="212121"/>
          <w:lang w:eastAsia="en-GB"/>
        </w:rPr>
        <w:t>Grant recipients should provide the most appropriate evidence for their organisation from the list below. They may need to provide more than one source of evidence depending on the make-up of their workforce and whether contractors/agency workers are employed to directly support delivery of the funded project/activity</w:t>
      </w:r>
      <w:r>
        <w:rPr>
          <w:rFonts w:ascii="Calibri" w:eastAsia="Times New Roman" w:hAnsi="Calibri" w:cs="Calibri"/>
          <w:color w:val="212121"/>
          <w:lang w:eastAsia="en-GB"/>
        </w:rPr>
        <w:t xml:space="preserve">’. </w:t>
      </w:r>
    </w:p>
    <w:p w14:paraId="231BCFCF" w14:textId="77777777" w:rsidR="00924F59" w:rsidRDefault="00924F59" w:rsidP="00924F59">
      <w:pPr>
        <w:rPr>
          <w:rFonts w:ascii="Calibri" w:eastAsia="Times New Roman" w:hAnsi="Calibri" w:cs="Calibri"/>
          <w:color w:val="212121"/>
          <w:lang w:eastAsia="en-GB"/>
        </w:rPr>
      </w:pPr>
    </w:p>
    <w:p w14:paraId="7D00084B" w14:textId="77777777" w:rsidR="00924F59" w:rsidRDefault="00924F59" w:rsidP="00924F59">
      <w:pPr>
        <w:rPr>
          <w:rFonts w:ascii="Calibri" w:eastAsia="Times New Roman" w:hAnsi="Calibri" w:cs="Calibri"/>
          <w:b/>
          <w:bCs/>
          <w:color w:val="212121"/>
          <w:lang w:eastAsia="en-GB"/>
        </w:rPr>
      </w:pPr>
      <w:r w:rsidRPr="00951C31">
        <w:rPr>
          <w:rFonts w:ascii="Calibri" w:eastAsia="Times New Roman" w:hAnsi="Calibri" w:cs="Calibri"/>
          <w:b/>
          <w:bCs/>
          <w:noProof/>
          <w:color w:val="212121"/>
          <w:lang w:eastAsia="en-GB"/>
        </w:rPr>
        <w:drawing>
          <wp:inline distT="0" distB="0" distL="0" distR="0" wp14:anchorId="2FE2EED9" wp14:editId="2FF1D5DF">
            <wp:extent cx="5934710" cy="5383714"/>
            <wp:effectExtent l="0" t="0" r="0" b="1270"/>
            <wp:docPr id="5" name="Content Placeholder 4" descr="Table&#10;&#10;Description automatically generated">
              <a:extLst xmlns:a="http://schemas.openxmlformats.org/drawingml/2006/main">
                <a:ext uri="{FF2B5EF4-FFF2-40B4-BE49-F238E27FC236}">
                  <a16:creationId xmlns:a16="http://schemas.microsoft.com/office/drawing/2014/main" id="{49D87690-2721-4F99-C989-0BA2C9D4FB8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able&#10;&#10;Description automatically generated">
                      <a:extLst>
                        <a:ext uri="{FF2B5EF4-FFF2-40B4-BE49-F238E27FC236}">
                          <a16:creationId xmlns:a16="http://schemas.microsoft.com/office/drawing/2014/main" id="{49D87690-2721-4F99-C989-0BA2C9D4FB8A}"/>
                        </a:ext>
                      </a:extLst>
                    </pic:cNvPr>
                    <pic:cNvPicPr>
                      <a:picLocks noGrp="1" noChangeAspect="1"/>
                    </pic:cNvPicPr>
                  </pic:nvPicPr>
                  <pic:blipFill>
                    <a:blip r:embed="rId13"/>
                    <a:stretch>
                      <a:fillRect/>
                    </a:stretch>
                  </pic:blipFill>
                  <pic:spPr>
                    <a:xfrm>
                      <a:off x="0" y="0"/>
                      <a:ext cx="5940047" cy="5388555"/>
                    </a:xfrm>
                    <a:prstGeom prst="rect">
                      <a:avLst/>
                    </a:prstGeom>
                  </pic:spPr>
                </pic:pic>
              </a:graphicData>
            </a:graphic>
          </wp:inline>
        </w:drawing>
      </w:r>
    </w:p>
    <w:p w14:paraId="054B2C1F" w14:textId="77777777" w:rsidR="00924F59" w:rsidRDefault="00924F59" w:rsidP="00924F59">
      <w:pPr>
        <w:rPr>
          <w:rFonts w:ascii="Calibri" w:eastAsia="Times New Roman" w:hAnsi="Calibri" w:cs="Calibri"/>
          <w:b/>
          <w:bCs/>
          <w:color w:val="212121"/>
          <w:lang w:eastAsia="en-GB"/>
        </w:rPr>
      </w:pPr>
    </w:p>
    <w:p w14:paraId="2FE852F1" w14:textId="77777777" w:rsidR="00924F59" w:rsidRDefault="00924F59" w:rsidP="00924F59">
      <w:pPr>
        <w:rPr>
          <w:rFonts w:ascii="Calibri" w:eastAsia="Times New Roman" w:hAnsi="Calibri" w:cs="Calibri"/>
          <w:b/>
          <w:bCs/>
          <w:color w:val="212121"/>
          <w:lang w:eastAsia="en-GB"/>
        </w:rPr>
      </w:pPr>
      <w:r w:rsidRPr="00AD23D7">
        <w:rPr>
          <w:rFonts w:ascii="Calibri" w:eastAsia="Times New Roman" w:hAnsi="Calibri" w:cs="Calibri"/>
          <w:b/>
          <w:bCs/>
          <w:color w:val="212121"/>
          <w:lang w:eastAsia="en-GB"/>
        </w:rPr>
        <w:t>Evidence of appropriate channels for effective workers' voice</w:t>
      </w:r>
    </w:p>
    <w:p w14:paraId="7EC2AB6F" w14:textId="77777777" w:rsidR="00924F59" w:rsidRPr="00AD23D7" w:rsidRDefault="00924F59" w:rsidP="00924F59">
      <w:pPr>
        <w:rPr>
          <w:rFonts w:ascii="Calibri" w:eastAsia="Times New Roman" w:hAnsi="Calibri" w:cs="Calibri"/>
          <w:b/>
          <w:bCs/>
          <w:color w:val="212121"/>
          <w:lang w:eastAsia="en-GB"/>
        </w:rPr>
      </w:pPr>
    </w:p>
    <w:p w14:paraId="0D37B0E5" w14:textId="77777777" w:rsidR="00924F59" w:rsidRDefault="00924F59" w:rsidP="00924F59">
      <w:pPr>
        <w:rPr>
          <w:rFonts w:ascii="Calibri" w:eastAsia="Times New Roman" w:hAnsi="Calibri" w:cs="Calibri"/>
          <w:color w:val="212121"/>
          <w:lang w:eastAsia="en-GB"/>
        </w:rPr>
      </w:pPr>
      <w:r>
        <w:rPr>
          <w:rFonts w:ascii="Calibri" w:eastAsia="Times New Roman" w:hAnsi="Calibri" w:cs="Calibri"/>
          <w:color w:val="212121"/>
          <w:lang w:eastAsia="en-GB"/>
        </w:rPr>
        <w:t>‘</w:t>
      </w:r>
      <w:r w:rsidRPr="00AD23D7">
        <w:rPr>
          <w:rFonts w:ascii="Calibri" w:eastAsia="Times New Roman" w:hAnsi="Calibri" w:cs="Calibri"/>
          <w:color w:val="212121"/>
          <w:lang w:eastAsia="en-GB"/>
        </w:rPr>
        <w:t xml:space="preserve">Although it is to be encouraged in all organisations, the collective element of voice does not have to be evidenced by organisations with fewer than 21 workers. This aligns with conditions for application for statutory union recognition and is therefore considered as a benchmark in terms of the size of workforce where collective representation would be expected. In all other cases, evidence must be provided to show that voice exists at both an individual and collective level in the organisation. The table below explains how the </w:t>
      </w:r>
      <w:r w:rsidRPr="00AD23D7">
        <w:rPr>
          <w:rFonts w:ascii="Calibri" w:eastAsia="Times New Roman" w:hAnsi="Calibri" w:cs="Calibri"/>
          <w:color w:val="212121"/>
          <w:lang w:eastAsia="en-GB"/>
        </w:rPr>
        <w:lastRenderedPageBreak/>
        <w:t>different channels of voice can be evidenced, the expectation being that at least one channel at both levels (individual and collective) is evidenced.</w:t>
      </w:r>
      <w:r>
        <w:rPr>
          <w:rFonts w:ascii="Calibri" w:eastAsia="Times New Roman" w:hAnsi="Calibri" w:cs="Calibri"/>
          <w:color w:val="212121"/>
          <w:lang w:eastAsia="en-GB"/>
        </w:rPr>
        <w:t>’</w:t>
      </w:r>
    </w:p>
    <w:p w14:paraId="2C8A0680" w14:textId="77777777" w:rsidR="00924F59" w:rsidRDefault="00924F59" w:rsidP="00924F59">
      <w:pPr>
        <w:rPr>
          <w:rFonts w:ascii="Calibri" w:eastAsia="Times New Roman" w:hAnsi="Calibri" w:cs="Calibri"/>
          <w:color w:val="212121"/>
          <w:lang w:eastAsia="en-GB"/>
        </w:rPr>
      </w:pPr>
    </w:p>
    <w:p w14:paraId="46283703" w14:textId="77777777" w:rsidR="00924F59" w:rsidRDefault="00924F59" w:rsidP="00924F59">
      <w:pPr>
        <w:rPr>
          <w:rFonts w:ascii="Calibri" w:eastAsia="Times New Roman" w:hAnsi="Calibri" w:cs="Calibri"/>
          <w:color w:val="212121"/>
          <w:lang w:eastAsia="en-GB"/>
        </w:rPr>
      </w:pPr>
      <w:r w:rsidRPr="00951C31">
        <w:rPr>
          <w:rFonts w:ascii="Calibri" w:eastAsia="Times New Roman" w:hAnsi="Calibri" w:cs="Calibri"/>
          <w:noProof/>
          <w:color w:val="212121"/>
          <w:lang w:eastAsia="en-GB"/>
        </w:rPr>
        <w:drawing>
          <wp:inline distT="0" distB="0" distL="0" distR="0" wp14:anchorId="6BA69A16" wp14:editId="7172222B">
            <wp:extent cx="5730240" cy="3838222"/>
            <wp:effectExtent l="0" t="0" r="0" b="0"/>
            <wp:docPr id="6" name="Picture 5">
              <a:extLst xmlns:a="http://schemas.openxmlformats.org/drawingml/2006/main">
                <a:ext uri="{FF2B5EF4-FFF2-40B4-BE49-F238E27FC236}">
                  <a16:creationId xmlns:a16="http://schemas.microsoft.com/office/drawing/2014/main" id="{B51EFE07-A95D-D17C-34DE-85E871922C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51EFE07-A95D-D17C-34DE-85E871922CD3}"/>
                        </a:ext>
                      </a:extLst>
                    </pic:cNvPr>
                    <pic:cNvPicPr>
                      <a:picLocks noChangeAspect="1"/>
                    </pic:cNvPicPr>
                  </pic:nvPicPr>
                  <pic:blipFill>
                    <a:blip r:embed="rId14"/>
                    <a:stretch>
                      <a:fillRect/>
                    </a:stretch>
                  </pic:blipFill>
                  <pic:spPr>
                    <a:xfrm>
                      <a:off x="0" y="0"/>
                      <a:ext cx="5747901" cy="3850052"/>
                    </a:xfrm>
                    <a:prstGeom prst="rect">
                      <a:avLst/>
                    </a:prstGeom>
                  </pic:spPr>
                </pic:pic>
              </a:graphicData>
            </a:graphic>
          </wp:inline>
        </w:drawing>
      </w:r>
    </w:p>
    <w:p w14:paraId="0FD3581E" w14:textId="77777777" w:rsidR="00924F59" w:rsidRDefault="00924F59" w:rsidP="00924F59">
      <w:pPr>
        <w:rPr>
          <w:rFonts w:ascii="Calibri" w:eastAsia="Times New Roman" w:hAnsi="Calibri" w:cs="Calibri"/>
          <w:color w:val="212121"/>
          <w:lang w:eastAsia="en-GB"/>
        </w:rPr>
      </w:pPr>
    </w:p>
    <w:p w14:paraId="39E82B33" w14:textId="77777777" w:rsidR="00924F59" w:rsidRDefault="00924F59" w:rsidP="00924F59">
      <w:pPr>
        <w:rPr>
          <w:rFonts w:ascii="Calibri" w:eastAsia="Times New Roman" w:hAnsi="Calibri" w:cs="Calibri"/>
          <w:color w:val="212121"/>
          <w:lang w:eastAsia="en-GB"/>
        </w:rPr>
      </w:pPr>
      <w:r w:rsidRPr="00951C31">
        <w:rPr>
          <w:rFonts w:ascii="Calibri" w:eastAsia="Times New Roman" w:hAnsi="Calibri" w:cs="Calibri"/>
          <w:noProof/>
          <w:color w:val="212121"/>
          <w:lang w:eastAsia="en-GB"/>
        </w:rPr>
        <w:drawing>
          <wp:inline distT="0" distB="0" distL="0" distR="0" wp14:anchorId="4295C647" wp14:editId="06E478F9">
            <wp:extent cx="5667022" cy="3300007"/>
            <wp:effectExtent l="0" t="0" r="0" b="2540"/>
            <wp:docPr id="4" name="Picture 3">
              <a:extLst xmlns:a="http://schemas.openxmlformats.org/drawingml/2006/main">
                <a:ext uri="{FF2B5EF4-FFF2-40B4-BE49-F238E27FC236}">
                  <a16:creationId xmlns:a16="http://schemas.microsoft.com/office/drawing/2014/main" id="{9617CC44-4907-9FA1-56BC-AE26A5F793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617CC44-4907-9FA1-56BC-AE26A5F793FD}"/>
                        </a:ext>
                      </a:extLst>
                    </pic:cNvPr>
                    <pic:cNvPicPr>
                      <a:picLocks noChangeAspect="1"/>
                    </pic:cNvPicPr>
                  </pic:nvPicPr>
                  <pic:blipFill>
                    <a:blip r:embed="rId15"/>
                    <a:stretch>
                      <a:fillRect/>
                    </a:stretch>
                  </pic:blipFill>
                  <pic:spPr>
                    <a:xfrm>
                      <a:off x="0" y="0"/>
                      <a:ext cx="5694395" cy="3315947"/>
                    </a:xfrm>
                    <a:prstGeom prst="rect">
                      <a:avLst/>
                    </a:prstGeom>
                  </pic:spPr>
                </pic:pic>
              </a:graphicData>
            </a:graphic>
          </wp:inline>
        </w:drawing>
      </w:r>
    </w:p>
    <w:p w14:paraId="1ACE1520" w14:textId="77777777" w:rsidR="00924F59" w:rsidRDefault="00924F59" w:rsidP="00924F59">
      <w:pPr>
        <w:rPr>
          <w:rFonts w:ascii="Calibri" w:eastAsia="Times New Roman" w:hAnsi="Calibri" w:cs="Calibri"/>
          <w:color w:val="212121"/>
          <w:lang w:eastAsia="en-GB"/>
        </w:rPr>
      </w:pPr>
    </w:p>
    <w:p w14:paraId="6F0D3F0B" w14:textId="77777777" w:rsidR="00924F59" w:rsidRDefault="00924F59" w:rsidP="00924F59">
      <w:pPr>
        <w:rPr>
          <w:rFonts w:ascii="Calibri" w:eastAsia="Times New Roman" w:hAnsi="Calibri" w:cs="Calibri"/>
          <w:color w:val="212121"/>
          <w:lang w:eastAsia="en-GB"/>
        </w:rPr>
      </w:pPr>
    </w:p>
    <w:p w14:paraId="6A3881B4" w14:textId="77777777" w:rsidR="00924F59" w:rsidRDefault="00924F59" w:rsidP="00924F59">
      <w:pPr>
        <w:rPr>
          <w:rFonts w:ascii="Calibri" w:eastAsia="Times New Roman" w:hAnsi="Calibri" w:cs="Calibri"/>
          <w:color w:val="212121"/>
          <w:lang w:eastAsia="en-GB"/>
        </w:rPr>
      </w:pPr>
    </w:p>
    <w:p w14:paraId="14D4C836" w14:textId="77777777" w:rsidR="00924F59" w:rsidRDefault="00924F59" w:rsidP="00924F59">
      <w:pPr>
        <w:rPr>
          <w:rFonts w:ascii="Calibri" w:eastAsia="Times New Roman" w:hAnsi="Calibri" w:cs="Calibri"/>
          <w:color w:val="212121"/>
          <w:lang w:eastAsia="en-GB"/>
        </w:rPr>
      </w:pPr>
    </w:p>
    <w:p w14:paraId="42116FB9" w14:textId="77777777" w:rsidR="00924F59" w:rsidRPr="00AD23D7" w:rsidRDefault="00924F59" w:rsidP="00924F59">
      <w:pPr>
        <w:rPr>
          <w:rFonts w:ascii="Calibri" w:eastAsia="Times New Roman" w:hAnsi="Calibri" w:cs="Calibri"/>
          <w:color w:val="212121"/>
          <w:lang w:eastAsia="en-GB"/>
        </w:rPr>
      </w:pPr>
      <w:r w:rsidRPr="00AD23D7">
        <w:rPr>
          <w:rFonts w:ascii="Calibri" w:eastAsia="Times New Roman" w:hAnsi="Calibri" w:cs="Calibri"/>
          <w:color w:val="212121"/>
          <w:lang w:eastAsia="en-GB"/>
        </w:rPr>
        <w:br w:type="page"/>
      </w:r>
    </w:p>
    <w:p w14:paraId="31F7D736" w14:textId="77777777" w:rsidR="00924F59" w:rsidRPr="00AD23D7" w:rsidRDefault="00924F59" w:rsidP="00924F59">
      <w:pPr>
        <w:rPr>
          <w:rFonts w:ascii="Calibri" w:eastAsia="Times New Roman" w:hAnsi="Calibri" w:cs="Calibri"/>
          <w:b/>
          <w:bCs/>
          <w:color w:val="212121"/>
          <w:sz w:val="28"/>
          <w:szCs w:val="28"/>
          <w:lang w:eastAsia="en-GB"/>
        </w:rPr>
      </w:pPr>
      <w:r w:rsidRPr="00AD23D7">
        <w:rPr>
          <w:rFonts w:ascii="Calibri" w:eastAsia="Times New Roman" w:hAnsi="Calibri" w:cs="Calibri"/>
          <w:b/>
          <w:bCs/>
          <w:color w:val="212121"/>
          <w:sz w:val="28"/>
          <w:szCs w:val="28"/>
          <w:lang w:eastAsia="en-GB"/>
        </w:rPr>
        <w:lastRenderedPageBreak/>
        <w:t xml:space="preserve">Appendix 2: Creative Scotland Monitoring Form – Fair Work </w:t>
      </w:r>
    </w:p>
    <w:p w14:paraId="0C0805A4" w14:textId="77777777" w:rsidR="00924F59" w:rsidRDefault="00924F59" w:rsidP="00924F59">
      <w:pPr>
        <w:rPr>
          <w:rFonts w:ascii="Calibri" w:eastAsia="Times New Roman" w:hAnsi="Calibri" w:cs="Calibri"/>
          <w:color w:val="212121"/>
          <w:lang w:eastAsia="en-GB"/>
        </w:rPr>
      </w:pPr>
    </w:p>
    <w:p w14:paraId="2ACD21F2" w14:textId="77777777" w:rsidR="00924F59" w:rsidRDefault="00924F59" w:rsidP="00924F59">
      <w:pPr>
        <w:rPr>
          <w:rFonts w:ascii="Calibri" w:eastAsia="Times New Roman" w:hAnsi="Calibri" w:cs="Calibri"/>
          <w:color w:val="212121"/>
          <w:lang w:eastAsia="en-GB"/>
        </w:rPr>
      </w:pPr>
      <w:r>
        <w:rPr>
          <w:rFonts w:ascii="Calibri" w:eastAsia="Times New Roman" w:hAnsi="Calibri" w:cs="Calibri"/>
          <w:color w:val="212121"/>
          <w:lang w:eastAsia="en-GB"/>
        </w:rPr>
        <w:t xml:space="preserve">This pro-forma will be issued to all RFOs in early 2024 for return prior to contracting for 2024-25 awards. </w:t>
      </w:r>
    </w:p>
    <w:p w14:paraId="1A9C11B0" w14:textId="77777777" w:rsidR="00924F59" w:rsidRDefault="00924F59" w:rsidP="00924F59">
      <w:pPr>
        <w:rPr>
          <w:rFonts w:ascii="Calibri" w:eastAsia="Times New Roman" w:hAnsi="Calibri" w:cs="Calibri"/>
          <w:color w:val="212121"/>
          <w:lang w:eastAsia="en-GB"/>
        </w:rPr>
      </w:pPr>
    </w:p>
    <w:p w14:paraId="705F5F6E" w14:textId="77777777" w:rsidR="00924F59" w:rsidRDefault="00924F59" w:rsidP="00924F59">
      <w:pPr>
        <w:pStyle w:val="paragraph"/>
        <w:spacing w:before="0" w:beforeAutospacing="0" w:after="0" w:afterAutospacing="0"/>
        <w:ind w:left="6480"/>
        <w:textAlignment w:val="baseline"/>
        <w:rPr>
          <w:rFonts w:ascii="Calibri" w:hAnsi="Calibri" w:cs="Calibri"/>
          <w:b/>
          <w:bCs/>
          <w:color w:val="0070C0"/>
          <w:sz w:val="28"/>
          <w:szCs w:val="28"/>
        </w:rPr>
      </w:pPr>
      <w:r>
        <w:rPr>
          <w:rFonts w:ascii="Calibri" w:hAnsi="Calibri" w:cs="Calibri"/>
          <w:b/>
          <w:bCs/>
          <w:noProof/>
          <w:color w:val="0070C0"/>
          <w:sz w:val="28"/>
          <w:szCs w:val="28"/>
        </w:rPr>
        <w:drawing>
          <wp:inline distT="0" distB="0" distL="0" distR="0" wp14:anchorId="0601A082" wp14:editId="0777499C">
            <wp:extent cx="1327150" cy="870528"/>
            <wp:effectExtent l="0" t="0" r="6350" b="6350"/>
            <wp:docPr id="8" name="Picture 8" descr="A black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circle with whit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613" cy="889854"/>
                    </a:xfrm>
                    <a:prstGeom prst="rect">
                      <a:avLst/>
                    </a:prstGeom>
                    <a:noFill/>
                    <a:ln>
                      <a:noFill/>
                    </a:ln>
                  </pic:spPr>
                </pic:pic>
              </a:graphicData>
            </a:graphic>
          </wp:inline>
        </w:drawing>
      </w:r>
    </w:p>
    <w:p w14:paraId="15DCFEA4" w14:textId="77777777" w:rsidR="00924F59" w:rsidRDefault="00924F59" w:rsidP="00924F59">
      <w:pPr>
        <w:pStyle w:val="paragraph"/>
        <w:spacing w:before="0" w:beforeAutospacing="0" w:after="0" w:afterAutospacing="0"/>
        <w:textAlignment w:val="baseline"/>
        <w:rPr>
          <w:rFonts w:ascii="Calibri" w:hAnsi="Calibri" w:cs="Calibri"/>
          <w:b/>
          <w:bCs/>
          <w:color w:val="0070C0"/>
          <w:sz w:val="28"/>
          <w:szCs w:val="28"/>
        </w:rPr>
      </w:pPr>
    </w:p>
    <w:p w14:paraId="5A21A0D5" w14:textId="77777777" w:rsidR="00924F59" w:rsidRDefault="00924F59" w:rsidP="00924F59">
      <w:pPr>
        <w:pStyle w:val="paragraph"/>
        <w:spacing w:before="0" w:beforeAutospacing="0" w:after="0" w:afterAutospacing="0"/>
        <w:ind w:left="6480"/>
        <w:textAlignment w:val="baseline"/>
        <w:rPr>
          <w:rFonts w:ascii="Calibri" w:hAnsi="Calibri" w:cs="Calibri"/>
          <w:b/>
          <w:bCs/>
          <w:color w:val="0070C0"/>
          <w:sz w:val="28"/>
          <w:szCs w:val="28"/>
        </w:rPr>
      </w:pPr>
      <w:r>
        <w:rPr>
          <w:noProof/>
        </w:rPr>
        <w:drawing>
          <wp:inline distT="0" distB="0" distL="0" distR="0" wp14:anchorId="064FA9DC" wp14:editId="431BC6B3">
            <wp:extent cx="1790700" cy="313373"/>
            <wp:effectExtent l="0" t="0" r="0" b="0"/>
            <wp:docPr id="7" name="Picture 7" descr="A 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text on a black background&#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0912" cy="320410"/>
                    </a:xfrm>
                    <a:prstGeom prst="rect">
                      <a:avLst/>
                    </a:prstGeom>
                    <a:noFill/>
                    <a:ln>
                      <a:noFill/>
                    </a:ln>
                  </pic:spPr>
                </pic:pic>
              </a:graphicData>
            </a:graphic>
          </wp:inline>
        </w:drawing>
      </w:r>
    </w:p>
    <w:p w14:paraId="5724019D" w14:textId="77777777" w:rsidR="00924F59" w:rsidRDefault="00924F59" w:rsidP="00924F59">
      <w:pPr>
        <w:pStyle w:val="paragraph"/>
        <w:spacing w:before="0" w:beforeAutospacing="0" w:after="0" w:afterAutospacing="0"/>
        <w:textAlignment w:val="baseline"/>
        <w:rPr>
          <w:rFonts w:ascii="Calibri" w:hAnsi="Calibri" w:cs="Calibri"/>
          <w:b/>
          <w:bCs/>
          <w:color w:val="0070C0"/>
          <w:sz w:val="28"/>
          <w:szCs w:val="28"/>
        </w:rPr>
      </w:pPr>
    </w:p>
    <w:p w14:paraId="1B5ED601" w14:textId="77777777" w:rsidR="00924F59" w:rsidRPr="00A309C2" w:rsidRDefault="00924F59" w:rsidP="00924F59">
      <w:pPr>
        <w:pStyle w:val="ListParagraph"/>
        <w:ind w:left="0"/>
        <w:contextualSpacing w:val="0"/>
        <w:textAlignment w:val="baseline"/>
        <w:rPr>
          <w:rFonts w:cstheme="minorHAnsi"/>
          <w:b/>
          <w:bCs/>
          <w:sz w:val="28"/>
          <w:szCs w:val="28"/>
        </w:rPr>
      </w:pPr>
      <w:r w:rsidRPr="00A309C2">
        <w:rPr>
          <w:rFonts w:cstheme="minorHAnsi"/>
          <w:b/>
          <w:bCs/>
          <w:sz w:val="28"/>
          <w:szCs w:val="28"/>
        </w:rPr>
        <w:t>Targeted Form – Fair Work</w:t>
      </w:r>
    </w:p>
    <w:p w14:paraId="2044A268" w14:textId="77777777" w:rsidR="00924F59" w:rsidRPr="00A309C2" w:rsidRDefault="00924F59" w:rsidP="00924F59">
      <w:pPr>
        <w:pStyle w:val="ListParagraph"/>
        <w:ind w:left="0"/>
        <w:contextualSpacing w:val="0"/>
        <w:textAlignment w:val="baseline"/>
        <w:rPr>
          <w:rFonts w:cstheme="minorHAnsi"/>
          <w:b/>
          <w:bCs/>
          <w:sz w:val="28"/>
          <w:szCs w:val="28"/>
        </w:rPr>
      </w:pPr>
    </w:p>
    <w:p w14:paraId="0417328C" w14:textId="77777777" w:rsidR="00924F59" w:rsidRPr="00A309C2" w:rsidRDefault="00924F59" w:rsidP="00924F59">
      <w:pPr>
        <w:textAlignment w:val="baseline"/>
        <w:rPr>
          <w:rFonts w:cstheme="minorHAnsi"/>
          <w:sz w:val="32"/>
          <w:szCs w:val="32"/>
          <w:vertAlign w:val="superscript"/>
        </w:rPr>
      </w:pPr>
      <w:r w:rsidRPr="00A309C2">
        <w:rPr>
          <w:rFonts w:cstheme="minorHAnsi"/>
          <w:sz w:val="32"/>
          <w:szCs w:val="32"/>
          <w:vertAlign w:val="superscript"/>
        </w:rPr>
        <w:t>Fair Work First is the Scottish Government's flagship policy for driving high quality and fair work across the labour market in Scotland. This is through applying fair work criteria to grants, other funding and contracts being awarded by and across the public sector, where it is relevant to do so.</w:t>
      </w:r>
    </w:p>
    <w:p w14:paraId="08FAD245" w14:textId="77777777" w:rsidR="00924F59" w:rsidRPr="00A309C2" w:rsidRDefault="00924F59" w:rsidP="00924F59">
      <w:pPr>
        <w:textAlignment w:val="baseline"/>
        <w:rPr>
          <w:rFonts w:cstheme="minorHAnsi"/>
          <w:sz w:val="32"/>
          <w:szCs w:val="32"/>
          <w:vertAlign w:val="superscript"/>
        </w:rPr>
      </w:pPr>
      <w:r w:rsidRPr="00A309C2">
        <w:rPr>
          <w:rFonts w:cstheme="minorHAnsi"/>
          <w:sz w:val="32"/>
          <w:szCs w:val="32"/>
          <w:vertAlign w:val="superscript"/>
        </w:rPr>
        <w:t>Through this approach the Scottish Government is asking employers to adopt fair working practices, specifically:</w:t>
      </w:r>
    </w:p>
    <w:p w14:paraId="19615764" w14:textId="77777777" w:rsidR="00924F59" w:rsidRPr="00A309C2" w:rsidRDefault="00924F59" w:rsidP="00924F59">
      <w:pPr>
        <w:pStyle w:val="ListParagraph"/>
        <w:numPr>
          <w:ilvl w:val="0"/>
          <w:numId w:val="2"/>
        </w:numPr>
        <w:textAlignment w:val="baseline"/>
        <w:rPr>
          <w:rFonts w:cstheme="minorHAnsi"/>
          <w:sz w:val="32"/>
          <w:szCs w:val="32"/>
          <w:vertAlign w:val="superscript"/>
        </w:rPr>
      </w:pPr>
      <w:r w:rsidRPr="00A309C2">
        <w:rPr>
          <w:rFonts w:cstheme="minorHAnsi"/>
          <w:sz w:val="32"/>
          <w:szCs w:val="32"/>
          <w:vertAlign w:val="superscript"/>
        </w:rPr>
        <w:t>appropriate channels for effective voice, such as trade union recognition</w:t>
      </w:r>
    </w:p>
    <w:p w14:paraId="46626541" w14:textId="77777777" w:rsidR="00924F59" w:rsidRPr="00A309C2" w:rsidRDefault="00924F59" w:rsidP="00924F59">
      <w:pPr>
        <w:pStyle w:val="ListParagraph"/>
        <w:numPr>
          <w:ilvl w:val="0"/>
          <w:numId w:val="2"/>
        </w:numPr>
        <w:textAlignment w:val="baseline"/>
        <w:rPr>
          <w:rFonts w:cstheme="minorHAnsi"/>
          <w:sz w:val="32"/>
          <w:szCs w:val="32"/>
          <w:vertAlign w:val="superscript"/>
        </w:rPr>
      </w:pPr>
      <w:r w:rsidRPr="00A309C2">
        <w:rPr>
          <w:rFonts w:cstheme="minorHAnsi"/>
          <w:sz w:val="32"/>
          <w:szCs w:val="32"/>
          <w:vertAlign w:val="superscript"/>
        </w:rPr>
        <w:t>investment in workforce development</w:t>
      </w:r>
    </w:p>
    <w:p w14:paraId="47D344DB" w14:textId="77777777" w:rsidR="00924F59" w:rsidRPr="00A309C2" w:rsidRDefault="00924F59" w:rsidP="00924F59">
      <w:pPr>
        <w:pStyle w:val="ListParagraph"/>
        <w:numPr>
          <w:ilvl w:val="0"/>
          <w:numId w:val="2"/>
        </w:numPr>
        <w:textAlignment w:val="baseline"/>
        <w:rPr>
          <w:rFonts w:cstheme="minorHAnsi"/>
          <w:sz w:val="32"/>
          <w:szCs w:val="32"/>
          <w:vertAlign w:val="superscript"/>
        </w:rPr>
      </w:pPr>
      <w:r w:rsidRPr="00A309C2">
        <w:rPr>
          <w:rFonts w:cstheme="minorHAnsi"/>
          <w:sz w:val="32"/>
          <w:szCs w:val="32"/>
          <w:vertAlign w:val="superscript"/>
        </w:rPr>
        <w:t>no inappropriate use of zero hours contracts</w:t>
      </w:r>
    </w:p>
    <w:p w14:paraId="0F056206" w14:textId="77777777" w:rsidR="00924F59" w:rsidRPr="00A309C2" w:rsidRDefault="00924F59" w:rsidP="00924F59">
      <w:pPr>
        <w:pStyle w:val="ListParagraph"/>
        <w:numPr>
          <w:ilvl w:val="0"/>
          <w:numId w:val="2"/>
        </w:numPr>
        <w:textAlignment w:val="baseline"/>
        <w:rPr>
          <w:rFonts w:cstheme="minorHAnsi"/>
          <w:sz w:val="32"/>
          <w:szCs w:val="32"/>
          <w:vertAlign w:val="superscript"/>
        </w:rPr>
      </w:pPr>
      <w:r w:rsidRPr="00A309C2">
        <w:rPr>
          <w:rFonts w:cstheme="minorHAnsi"/>
          <w:sz w:val="32"/>
          <w:szCs w:val="32"/>
          <w:vertAlign w:val="superscript"/>
        </w:rPr>
        <w:t xml:space="preserve">action to tackle the gender pay gap and create a more diverse and inclusive </w:t>
      </w:r>
      <w:proofErr w:type="gramStart"/>
      <w:r w:rsidRPr="00A309C2">
        <w:rPr>
          <w:rFonts w:cstheme="minorHAnsi"/>
          <w:sz w:val="32"/>
          <w:szCs w:val="32"/>
          <w:vertAlign w:val="superscript"/>
        </w:rPr>
        <w:t>workplace</w:t>
      </w:r>
      <w:proofErr w:type="gramEnd"/>
    </w:p>
    <w:p w14:paraId="5C8E3933" w14:textId="77777777" w:rsidR="00924F59" w:rsidRPr="00A309C2" w:rsidRDefault="00924F59" w:rsidP="00924F59">
      <w:pPr>
        <w:pStyle w:val="ListParagraph"/>
        <w:numPr>
          <w:ilvl w:val="0"/>
          <w:numId w:val="2"/>
        </w:numPr>
        <w:textAlignment w:val="baseline"/>
        <w:rPr>
          <w:rFonts w:cstheme="minorHAnsi"/>
          <w:sz w:val="32"/>
          <w:szCs w:val="32"/>
          <w:vertAlign w:val="superscript"/>
        </w:rPr>
      </w:pPr>
      <w:r w:rsidRPr="00A309C2">
        <w:rPr>
          <w:rFonts w:cstheme="minorHAnsi"/>
          <w:sz w:val="32"/>
          <w:szCs w:val="32"/>
          <w:vertAlign w:val="superscript"/>
        </w:rPr>
        <w:t>payment of the Real Living Wage</w:t>
      </w:r>
    </w:p>
    <w:p w14:paraId="57353C22" w14:textId="77777777" w:rsidR="00924F59" w:rsidRPr="00A309C2" w:rsidRDefault="00924F59" w:rsidP="00924F59">
      <w:pPr>
        <w:pStyle w:val="ListParagraph"/>
        <w:numPr>
          <w:ilvl w:val="0"/>
          <w:numId w:val="2"/>
        </w:numPr>
        <w:textAlignment w:val="baseline"/>
        <w:rPr>
          <w:rFonts w:cstheme="minorHAnsi"/>
          <w:sz w:val="32"/>
          <w:szCs w:val="32"/>
          <w:vertAlign w:val="superscript"/>
        </w:rPr>
      </w:pPr>
      <w:r w:rsidRPr="00A309C2">
        <w:rPr>
          <w:rFonts w:cstheme="minorHAnsi"/>
          <w:sz w:val="32"/>
          <w:szCs w:val="32"/>
          <w:vertAlign w:val="superscript"/>
        </w:rPr>
        <w:t>offering flexible and family friendly working practices for all workers from day one of employment</w:t>
      </w:r>
    </w:p>
    <w:p w14:paraId="3050BFB1" w14:textId="77777777" w:rsidR="00924F59" w:rsidRPr="00A309C2" w:rsidRDefault="00924F59" w:rsidP="00924F59">
      <w:pPr>
        <w:pStyle w:val="ListParagraph"/>
        <w:numPr>
          <w:ilvl w:val="0"/>
          <w:numId w:val="2"/>
        </w:numPr>
        <w:textAlignment w:val="baseline"/>
        <w:rPr>
          <w:rFonts w:cstheme="minorHAnsi"/>
          <w:sz w:val="32"/>
          <w:szCs w:val="32"/>
          <w:vertAlign w:val="superscript"/>
        </w:rPr>
      </w:pPr>
      <w:r w:rsidRPr="00A309C2">
        <w:rPr>
          <w:rFonts w:cstheme="minorHAnsi"/>
          <w:sz w:val="32"/>
          <w:szCs w:val="32"/>
          <w:vertAlign w:val="superscript"/>
        </w:rPr>
        <w:t>opposing the use of fire and rehire practices.</w:t>
      </w:r>
    </w:p>
    <w:p w14:paraId="24D6ACE3" w14:textId="77777777" w:rsidR="00924F59" w:rsidRPr="00A309C2" w:rsidRDefault="00924F59" w:rsidP="00924F59">
      <w:pPr>
        <w:pStyle w:val="ListParagraph"/>
        <w:textAlignment w:val="baseline"/>
        <w:rPr>
          <w:rFonts w:cstheme="minorHAnsi"/>
          <w:sz w:val="32"/>
          <w:szCs w:val="32"/>
          <w:vertAlign w:val="superscript"/>
        </w:rPr>
      </w:pPr>
    </w:p>
    <w:p w14:paraId="5AB35429" w14:textId="77777777" w:rsidR="00924F59" w:rsidRPr="00A309C2" w:rsidRDefault="00924F59" w:rsidP="00924F59">
      <w:pPr>
        <w:pStyle w:val="ListParagraph"/>
        <w:ind w:left="0"/>
        <w:contextualSpacing w:val="0"/>
        <w:textAlignment w:val="baseline"/>
        <w:rPr>
          <w:rFonts w:cstheme="minorHAnsi"/>
          <w:sz w:val="32"/>
          <w:szCs w:val="32"/>
          <w:vertAlign w:val="superscript"/>
        </w:rPr>
      </w:pPr>
      <w:r w:rsidRPr="00A309C2">
        <w:rPr>
          <w:rFonts w:cstheme="minorHAnsi"/>
          <w:sz w:val="32"/>
          <w:szCs w:val="32"/>
          <w:vertAlign w:val="superscript"/>
        </w:rPr>
        <w:t xml:space="preserve">You can learn more about Fair Work and find useful Creative Scotland resources </w:t>
      </w:r>
      <w:hyperlink r:id="rId17" w:history="1">
        <w:r w:rsidRPr="00A309C2">
          <w:rPr>
            <w:rStyle w:val="Hyperlink"/>
            <w:rFonts w:cstheme="minorHAnsi"/>
            <w:sz w:val="32"/>
            <w:szCs w:val="32"/>
            <w:vertAlign w:val="superscript"/>
          </w:rPr>
          <w:t>here</w:t>
        </w:r>
      </w:hyperlink>
      <w:r w:rsidRPr="00A309C2">
        <w:rPr>
          <w:rFonts w:cstheme="minorHAnsi"/>
          <w:sz w:val="32"/>
          <w:szCs w:val="32"/>
          <w:vertAlign w:val="superscript"/>
        </w:rPr>
        <w:t>.</w:t>
      </w:r>
    </w:p>
    <w:p w14:paraId="2CB07E9D" w14:textId="77777777" w:rsidR="00924F59" w:rsidRPr="00A309C2" w:rsidRDefault="00924F59" w:rsidP="00924F59">
      <w:pPr>
        <w:pStyle w:val="ListParagraph"/>
        <w:ind w:left="0"/>
        <w:contextualSpacing w:val="0"/>
        <w:textAlignment w:val="baseline"/>
        <w:rPr>
          <w:rFonts w:cstheme="minorHAnsi"/>
          <w:sz w:val="32"/>
          <w:szCs w:val="32"/>
          <w:vertAlign w:val="superscript"/>
        </w:rPr>
      </w:pPr>
      <w:r w:rsidRPr="00A309C2">
        <w:rPr>
          <w:rFonts w:cstheme="minorHAnsi"/>
          <w:sz w:val="32"/>
          <w:szCs w:val="32"/>
          <w:vertAlign w:val="superscript"/>
        </w:rPr>
        <w:t>You can access Creative Scotland’s </w:t>
      </w:r>
      <w:hyperlink r:id="rId18" w:tgtFrame="_blank" w:history="1">
        <w:r w:rsidRPr="00A309C2">
          <w:rPr>
            <w:rStyle w:val="Hyperlink"/>
            <w:rFonts w:cstheme="minorHAnsi"/>
            <w:sz w:val="32"/>
            <w:szCs w:val="32"/>
            <w:vertAlign w:val="superscript"/>
          </w:rPr>
          <w:t>Privacy Notice</w:t>
        </w:r>
      </w:hyperlink>
      <w:r w:rsidRPr="00A309C2">
        <w:rPr>
          <w:rFonts w:cstheme="minorHAnsi"/>
          <w:sz w:val="32"/>
          <w:szCs w:val="32"/>
          <w:vertAlign w:val="superscript"/>
        </w:rPr>
        <w:t> here which will provide details of how we handle and use the data we collect from you.</w:t>
      </w:r>
    </w:p>
    <w:p w14:paraId="09F61F16" w14:textId="77777777" w:rsidR="00924F59" w:rsidRPr="00FB4A8E" w:rsidRDefault="00924F59" w:rsidP="00924F59">
      <w:pPr>
        <w:pStyle w:val="ListParagraph"/>
        <w:ind w:left="0"/>
        <w:contextualSpacing w:val="0"/>
        <w:textAlignment w:val="baseline"/>
        <w:rPr>
          <w:rFonts w:ascii="Verdana" w:hAnsi="Verdana"/>
          <w:sz w:val="32"/>
          <w:szCs w:val="32"/>
          <w:vertAlign w:val="superscript"/>
        </w:rPr>
      </w:pPr>
    </w:p>
    <w:p w14:paraId="42133E7F" w14:textId="77777777" w:rsidR="00924F59" w:rsidRDefault="00924F59" w:rsidP="00924F59">
      <w:pPr>
        <w:pStyle w:val="ListParagraph"/>
        <w:ind w:left="0"/>
        <w:contextualSpacing w:val="0"/>
        <w:textAlignment w:val="baseline"/>
        <w:rPr>
          <w:rFonts w:ascii="Verdana" w:hAnsi="Verdana"/>
          <w:b/>
          <w:bCs/>
          <w:sz w:val="28"/>
          <w:szCs w:val="28"/>
          <w:vertAlign w:val="superscript"/>
        </w:rPr>
      </w:pPr>
      <w:r>
        <w:rPr>
          <w:rFonts w:ascii="Verdana" w:hAnsi="Verdana"/>
          <w:b/>
          <w:bCs/>
          <w:sz w:val="28"/>
          <w:szCs w:val="28"/>
        </w:rPr>
        <w:t xml:space="preserve">Please complete these questions and send to </w:t>
      </w:r>
      <w:hyperlink r:id="rId19" w:history="1">
        <w:r w:rsidRPr="00660060">
          <w:rPr>
            <w:rStyle w:val="Hyperlink"/>
            <w:rFonts w:ascii="Verdana" w:hAnsi="Verdana"/>
            <w:b/>
            <w:bCs/>
            <w:sz w:val="28"/>
            <w:szCs w:val="28"/>
          </w:rPr>
          <w:t>fairwork@creativescotland.com</w:t>
        </w:r>
      </w:hyperlink>
      <w:r>
        <w:rPr>
          <w:rFonts w:ascii="Verdana" w:hAnsi="Verdana"/>
          <w:b/>
          <w:bCs/>
          <w:sz w:val="28"/>
          <w:szCs w:val="28"/>
        </w:rPr>
        <w:t>, together with relevant documentation.</w:t>
      </w:r>
    </w:p>
    <w:p w14:paraId="77516E1E" w14:textId="77777777" w:rsidR="00924F59" w:rsidRDefault="00924F59" w:rsidP="00924F59">
      <w:pPr>
        <w:pStyle w:val="ListParagraph"/>
        <w:ind w:left="0"/>
        <w:contextualSpacing w:val="0"/>
        <w:textAlignment w:val="baseline"/>
        <w:rPr>
          <w:rFonts w:ascii="Verdana" w:hAnsi="Verdana"/>
          <w:b/>
          <w:bCs/>
          <w:sz w:val="28"/>
          <w:szCs w:val="28"/>
        </w:rPr>
      </w:pPr>
    </w:p>
    <w:p w14:paraId="09FA68E4" w14:textId="77777777" w:rsidR="00924F59" w:rsidRDefault="00924F59" w:rsidP="00924F59">
      <w:pPr>
        <w:pStyle w:val="ListParagraph"/>
        <w:ind w:left="0"/>
        <w:contextualSpacing w:val="0"/>
        <w:textAlignment w:val="baseline"/>
        <w:rPr>
          <w:rFonts w:ascii="Verdana" w:hAnsi="Verdana"/>
          <w:b/>
          <w:bCs/>
          <w:sz w:val="28"/>
          <w:szCs w:val="28"/>
        </w:rPr>
      </w:pPr>
    </w:p>
    <w:p w14:paraId="6696AD32" w14:textId="77777777" w:rsidR="00924F59" w:rsidRDefault="00924F59" w:rsidP="00924F59">
      <w:pPr>
        <w:pStyle w:val="ListParagraph"/>
        <w:ind w:left="0"/>
        <w:contextualSpacing w:val="0"/>
        <w:textAlignment w:val="baseline"/>
        <w:rPr>
          <w:rFonts w:ascii="Verdana" w:hAnsi="Verdana"/>
          <w:b/>
          <w:bCs/>
          <w:sz w:val="28"/>
          <w:szCs w:val="28"/>
        </w:rPr>
      </w:pPr>
    </w:p>
    <w:tbl>
      <w:tblPr>
        <w:tblStyle w:val="TableGrid"/>
        <w:tblW w:w="0" w:type="auto"/>
        <w:tblLook w:val="04A0" w:firstRow="1" w:lastRow="0" w:firstColumn="1" w:lastColumn="0" w:noHBand="0" w:noVBand="1"/>
      </w:tblPr>
      <w:tblGrid>
        <w:gridCol w:w="9016"/>
      </w:tblGrid>
      <w:tr w:rsidR="00924F59" w14:paraId="5664C40E" w14:textId="77777777" w:rsidTr="000D4C20">
        <w:tc>
          <w:tcPr>
            <w:tcW w:w="9016" w:type="dxa"/>
            <w:shd w:val="clear" w:color="auto" w:fill="AEAAAA" w:themeFill="background2" w:themeFillShade="BF"/>
          </w:tcPr>
          <w:p w14:paraId="3D7F441C" w14:textId="77777777" w:rsidR="00924F59" w:rsidRPr="00EE43B7" w:rsidRDefault="00924F59" w:rsidP="000D4C20">
            <w:pPr>
              <w:pStyle w:val="ListParagraph"/>
              <w:ind w:left="0"/>
              <w:contextualSpacing w:val="0"/>
              <w:textAlignment w:val="baseline"/>
              <w:rPr>
                <w:rFonts w:ascii="Verdana" w:hAnsi="Verdana"/>
                <w:b/>
                <w:bCs/>
              </w:rPr>
            </w:pPr>
            <w:r w:rsidRPr="00EE43B7">
              <w:rPr>
                <w:rFonts w:ascii="Verdana" w:hAnsi="Verdana"/>
                <w:b/>
                <w:bCs/>
              </w:rPr>
              <w:lastRenderedPageBreak/>
              <w:t>Question 1</w:t>
            </w:r>
          </w:p>
        </w:tc>
      </w:tr>
      <w:tr w:rsidR="00924F59" w14:paraId="61A693F1" w14:textId="77777777" w:rsidTr="000D4C20">
        <w:tc>
          <w:tcPr>
            <w:tcW w:w="9016" w:type="dxa"/>
          </w:tcPr>
          <w:p w14:paraId="72C23DC6" w14:textId="77777777" w:rsidR="00924F59" w:rsidRDefault="00924F59" w:rsidP="000D4C20">
            <w:pPr>
              <w:pStyle w:val="ListParagraph"/>
              <w:ind w:left="0"/>
              <w:contextualSpacing w:val="0"/>
              <w:textAlignment w:val="baseline"/>
              <w:rPr>
                <w:rFonts w:ascii="Verdana" w:hAnsi="Verdana"/>
                <w:sz w:val="32"/>
                <w:szCs w:val="32"/>
                <w:vertAlign w:val="superscript"/>
              </w:rPr>
            </w:pPr>
            <w:r w:rsidRPr="0046381B">
              <w:rPr>
                <w:rFonts w:ascii="Verdana" w:hAnsi="Verdana"/>
                <w:sz w:val="32"/>
                <w:szCs w:val="32"/>
                <w:vertAlign w:val="superscript"/>
              </w:rPr>
              <w:t xml:space="preserve">In line with </w:t>
            </w:r>
            <w:hyperlink r:id="rId20" w:history="1">
              <w:r w:rsidRPr="0046381B">
                <w:rPr>
                  <w:rStyle w:val="Hyperlink"/>
                  <w:rFonts w:ascii="Verdana" w:hAnsi="Verdana"/>
                  <w:sz w:val="32"/>
                  <w:szCs w:val="32"/>
                  <w:vertAlign w:val="superscript"/>
                </w:rPr>
                <w:t>Scottish Government guidance,</w:t>
              </w:r>
            </w:hyperlink>
            <w:r w:rsidRPr="0046381B">
              <w:rPr>
                <w:rFonts w:ascii="Verdana" w:hAnsi="Verdana"/>
                <w:sz w:val="32"/>
                <w:szCs w:val="32"/>
                <w:vertAlign w:val="superscript"/>
              </w:rPr>
              <w:t xml:space="preserve"> </w:t>
            </w:r>
            <w:r>
              <w:rPr>
                <w:rFonts w:ascii="Verdana" w:hAnsi="Verdana"/>
                <w:sz w:val="32"/>
                <w:szCs w:val="32"/>
                <w:vertAlign w:val="superscript"/>
              </w:rPr>
              <w:t>please</w:t>
            </w:r>
            <w:r w:rsidRPr="0046381B">
              <w:rPr>
                <w:rFonts w:ascii="Verdana" w:hAnsi="Verdana"/>
                <w:sz w:val="32"/>
                <w:szCs w:val="32"/>
                <w:vertAlign w:val="superscript"/>
              </w:rPr>
              <w:t xml:space="preserve"> confirm that you will pay the Real Living Wage to directly employed staff, apprentices, 16-17 year-old workers and contracted and agency staff, from the start of the funded period?</w:t>
            </w:r>
          </w:p>
          <w:p w14:paraId="20C8DC54" w14:textId="77777777" w:rsidR="00924F59" w:rsidRDefault="00924F59" w:rsidP="000D4C20">
            <w:pPr>
              <w:pStyle w:val="ListParagraph"/>
              <w:ind w:left="0"/>
              <w:contextualSpacing w:val="0"/>
              <w:textAlignment w:val="baseline"/>
              <w:rPr>
                <w:rFonts w:ascii="Verdana" w:hAnsi="Verdana"/>
                <w:sz w:val="32"/>
                <w:szCs w:val="32"/>
                <w:vertAlign w:val="superscript"/>
              </w:rPr>
            </w:pPr>
          </w:p>
          <w:p w14:paraId="54B93EAF" w14:textId="77777777" w:rsidR="00924F59" w:rsidRPr="00AC16D6" w:rsidRDefault="00924F59" w:rsidP="000D4C20">
            <w:pPr>
              <w:pStyle w:val="ListParagraph"/>
              <w:ind w:left="0"/>
              <w:contextualSpacing w:val="0"/>
              <w:textAlignment w:val="baseline"/>
              <w:rPr>
                <w:rFonts w:ascii="Verdana" w:hAnsi="Verdana"/>
                <w:sz w:val="32"/>
                <w:szCs w:val="32"/>
                <w:vertAlign w:val="superscript"/>
              </w:rPr>
            </w:pPr>
            <w:r w:rsidRPr="00A6543A">
              <w:rPr>
                <w:rFonts w:ascii="Verdana" w:hAnsi="Verdana"/>
                <w:i/>
                <w:iCs/>
                <w:sz w:val="32"/>
                <w:szCs w:val="32"/>
                <w:vertAlign w:val="superscript"/>
              </w:rPr>
              <w:t xml:space="preserve">Please note that we will not be able to progress contracting if you have answered </w:t>
            </w:r>
            <w:r>
              <w:rPr>
                <w:rFonts w:ascii="Verdana" w:hAnsi="Verdana"/>
                <w:i/>
                <w:iCs/>
                <w:sz w:val="32"/>
                <w:szCs w:val="32"/>
                <w:vertAlign w:val="superscript"/>
              </w:rPr>
              <w:t>‘</w:t>
            </w:r>
            <w:r w:rsidRPr="00A6543A">
              <w:rPr>
                <w:rFonts w:ascii="Verdana" w:hAnsi="Verdana"/>
                <w:i/>
                <w:iCs/>
                <w:sz w:val="32"/>
                <w:szCs w:val="32"/>
                <w:vertAlign w:val="superscript"/>
              </w:rPr>
              <w:t>no</w:t>
            </w:r>
            <w:r>
              <w:rPr>
                <w:rFonts w:ascii="Verdana" w:hAnsi="Verdana"/>
                <w:i/>
                <w:iCs/>
                <w:sz w:val="32"/>
                <w:szCs w:val="32"/>
                <w:vertAlign w:val="superscript"/>
              </w:rPr>
              <w:t>’</w:t>
            </w:r>
            <w:r w:rsidRPr="00A6543A">
              <w:rPr>
                <w:rFonts w:ascii="Verdana" w:hAnsi="Verdana"/>
                <w:i/>
                <w:iCs/>
                <w:sz w:val="32"/>
                <w:szCs w:val="32"/>
                <w:vertAlign w:val="superscript"/>
              </w:rPr>
              <w:t xml:space="preserve"> to this question. Please indicate the reasons why you are unable to pay the Real Living Wage to these groups, and we will be in touch to discuss this with you.</w:t>
            </w:r>
          </w:p>
        </w:tc>
      </w:tr>
      <w:tr w:rsidR="00924F59" w14:paraId="5FE42BDE" w14:textId="77777777" w:rsidTr="000D4C20">
        <w:tc>
          <w:tcPr>
            <w:tcW w:w="9016" w:type="dxa"/>
          </w:tcPr>
          <w:p w14:paraId="4E86729F" w14:textId="77777777" w:rsidR="00924F59" w:rsidRPr="00EE43B7" w:rsidRDefault="00924F59" w:rsidP="000D4C20">
            <w:pPr>
              <w:pStyle w:val="ListParagraph"/>
              <w:ind w:left="0"/>
              <w:contextualSpacing w:val="0"/>
              <w:textAlignment w:val="baseline"/>
              <w:rPr>
                <w:rFonts w:ascii="Verdana" w:hAnsi="Verdana"/>
                <w:b/>
                <w:bCs/>
              </w:rPr>
            </w:pPr>
            <w:r w:rsidRPr="00EE43B7">
              <w:rPr>
                <w:rFonts w:ascii="Verdana" w:hAnsi="Verdana"/>
                <w:b/>
                <w:bCs/>
              </w:rPr>
              <w:t>Response:</w:t>
            </w:r>
          </w:p>
          <w:sdt>
            <w:sdtPr>
              <w:rPr>
                <w:rStyle w:val="FootnoteReference"/>
                <w:rFonts w:ascii="Verdana" w:hAnsi="Verdana"/>
                <w:sz w:val="44"/>
                <w:szCs w:val="44"/>
              </w:rPr>
              <w:id w:val="1801191539"/>
              <w:placeholder>
                <w:docPart w:val="63CD1F8E6D7E46FDBCF0F419564A04B2"/>
              </w:placeholder>
              <w:showingPlcHdr/>
              <w15:color w:val="000000"/>
              <w:comboBox>
                <w:listItem w:value="Choose an item."/>
                <w:listItem w:displayText="YES" w:value="YES"/>
                <w:listItem w:displayText="NO" w:value="NO"/>
              </w:comboBox>
            </w:sdtPr>
            <w:sdtContent>
              <w:p w14:paraId="16E81116" w14:textId="77777777" w:rsidR="00924F59" w:rsidRPr="00EE43B7" w:rsidRDefault="00924F59" w:rsidP="000D4C20">
                <w:pPr>
                  <w:pStyle w:val="ListParagraph"/>
                  <w:ind w:left="0"/>
                  <w:contextualSpacing w:val="0"/>
                  <w:textAlignment w:val="baseline"/>
                  <w:rPr>
                    <w:rFonts w:ascii="Verdana" w:hAnsi="Verdana"/>
                    <w:sz w:val="44"/>
                    <w:szCs w:val="44"/>
                    <w:vertAlign w:val="superscript"/>
                  </w:rPr>
                </w:pPr>
                <w:r w:rsidRPr="00EE43B7">
                  <w:rPr>
                    <w:rStyle w:val="PlaceholderText"/>
                    <w:sz w:val="32"/>
                    <w:szCs w:val="32"/>
                  </w:rPr>
                  <w:t>Choose an item.</w:t>
                </w:r>
              </w:p>
            </w:sdtContent>
          </w:sdt>
        </w:tc>
      </w:tr>
    </w:tbl>
    <w:p w14:paraId="4F73CA4D" w14:textId="77777777" w:rsidR="00924F59" w:rsidRDefault="00924F59" w:rsidP="00924F59">
      <w:pPr>
        <w:pStyle w:val="ListParagraph"/>
        <w:ind w:left="0"/>
        <w:contextualSpacing w:val="0"/>
        <w:textAlignment w:val="baseline"/>
        <w:rPr>
          <w:rFonts w:ascii="Verdana" w:hAnsi="Verdana"/>
          <w:b/>
          <w:bCs/>
          <w:sz w:val="28"/>
          <w:szCs w:val="28"/>
        </w:rPr>
      </w:pPr>
    </w:p>
    <w:p w14:paraId="2824BFF8" w14:textId="77777777" w:rsidR="00924F59" w:rsidRDefault="00924F59" w:rsidP="00924F59">
      <w:pPr>
        <w:pStyle w:val="ListParagraph"/>
        <w:ind w:left="0"/>
        <w:contextualSpacing w:val="0"/>
        <w:textAlignment w:val="baseline"/>
        <w:rPr>
          <w:rFonts w:ascii="Verdana" w:hAnsi="Verdana"/>
          <w:b/>
          <w:bCs/>
          <w:sz w:val="28"/>
          <w:szCs w:val="28"/>
        </w:rPr>
      </w:pPr>
    </w:p>
    <w:tbl>
      <w:tblPr>
        <w:tblStyle w:val="TableGrid"/>
        <w:tblW w:w="0" w:type="auto"/>
        <w:tblLook w:val="04A0" w:firstRow="1" w:lastRow="0" w:firstColumn="1" w:lastColumn="0" w:noHBand="0" w:noVBand="1"/>
      </w:tblPr>
      <w:tblGrid>
        <w:gridCol w:w="9016"/>
      </w:tblGrid>
      <w:tr w:rsidR="00924F59" w14:paraId="0D7A29B8" w14:textId="77777777" w:rsidTr="000D4C20">
        <w:tc>
          <w:tcPr>
            <w:tcW w:w="9016" w:type="dxa"/>
            <w:shd w:val="clear" w:color="auto" w:fill="AEAAAA" w:themeFill="background2" w:themeFillShade="BF"/>
          </w:tcPr>
          <w:p w14:paraId="24E55853" w14:textId="77777777" w:rsidR="00924F59" w:rsidRDefault="00924F59" w:rsidP="000D4C20">
            <w:pPr>
              <w:pStyle w:val="ListParagraph"/>
              <w:ind w:left="0"/>
              <w:contextualSpacing w:val="0"/>
              <w:textAlignment w:val="baseline"/>
              <w:rPr>
                <w:rFonts w:ascii="Verdana" w:hAnsi="Verdana"/>
                <w:b/>
                <w:bCs/>
                <w:sz w:val="28"/>
                <w:szCs w:val="28"/>
              </w:rPr>
            </w:pPr>
            <w:r w:rsidRPr="00B70475">
              <w:rPr>
                <w:rFonts w:ascii="Verdana" w:hAnsi="Verdana"/>
                <w:b/>
                <w:bCs/>
              </w:rPr>
              <w:t>Question 2</w:t>
            </w:r>
          </w:p>
        </w:tc>
      </w:tr>
      <w:tr w:rsidR="00924F59" w14:paraId="5738E777" w14:textId="77777777" w:rsidTr="000D4C20">
        <w:tc>
          <w:tcPr>
            <w:tcW w:w="9016" w:type="dxa"/>
          </w:tcPr>
          <w:p w14:paraId="229F28D9" w14:textId="77777777" w:rsidR="00924F59" w:rsidRPr="004919D3" w:rsidRDefault="00924F59" w:rsidP="000D4C20">
            <w:pPr>
              <w:pStyle w:val="ListParagraph"/>
              <w:ind w:left="0"/>
              <w:contextualSpacing w:val="0"/>
              <w:textAlignment w:val="baseline"/>
              <w:rPr>
                <w:rFonts w:ascii="Verdana" w:hAnsi="Verdana"/>
                <w:b/>
                <w:bCs/>
                <w:sz w:val="32"/>
                <w:szCs w:val="32"/>
                <w:vertAlign w:val="superscript"/>
              </w:rPr>
            </w:pPr>
            <w:r w:rsidRPr="004919D3">
              <w:rPr>
                <w:rFonts w:ascii="Verdana" w:hAnsi="Verdana"/>
                <w:b/>
                <w:bCs/>
                <w:sz w:val="32"/>
                <w:szCs w:val="32"/>
                <w:vertAlign w:val="superscript"/>
              </w:rPr>
              <w:t>For applications for award of over £100,000</w:t>
            </w:r>
          </w:p>
          <w:p w14:paraId="4EEEDEBA" w14:textId="77777777" w:rsidR="00924F59" w:rsidRDefault="00924F59" w:rsidP="000D4C20">
            <w:pPr>
              <w:pStyle w:val="ListParagraph"/>
              <w:ind w:left="0"/>
              <w:contextualSpacing w:val="0"/>
              <w:textAlignment w:val="baseline"/>
              <w:rPr>
                <w:rFonts w:ascii="Verdana" w:hAnsi="Verdana"/>
                <w:sz w:val="32"/>
                <w:szCs w:val="32"/>
                <w:vertAlign w:val="superscript"/>
              </w:rPr>
            </w:pPr>
            <w:r>
              <w:rPr>
                <w:rFonts w:ascii="Verdana" w:hAnsi="Verdana"/>
                <w:sz w:val="32"/>
                <w:szCs w:val="32"/>
                <w:vertAlign w:val="superscript"/>
              </w:rPr>
              <w:t>Do you have</w:t>
            </w:r>
            <w:r w:rsidRPr="00DF006C">
              <w:rPr>
                <w:rFonts w:ascii="Verdana" w:hAnsi="Verdana"/>
                <w:sz w:val="32"/>
                <w:szCs w:val="32"/>
                <w:vertAlign w:val="superscript"/>
              </w:rPr>
              <w:t xml:space="preserve"> relevant documentation to evidence payment of the Real Living Wage in line with </w:t>
            </w:r>
            <w:hyperlink r:id="rId21" w:history="1">
              <w:r w:rsidRPr="00DF006C">
                <w:rPr>
                  <w:rStyle w:val="Hyperlink"/>
                  <w:rFonts w:ascii="Verdana" w:hAnsi="Verdana"/>
                  <w:sz w:val="32"/>
                  <w:szCs w:val="32"/>
                  <w:vertAlign w:val="superscript"/>
                </w:rPr>
                <w:t>Scottish Government guidance</w:t>
              </w:r>
            </w:hyperlink>
            <w:r>
              <w:rPr>
                <w:rFonts w:ascii="Verdana" w:hAnsi="Verdana"/>
                <w:sz w:val="32"/>
                <w:szCs w:val="32"/>
                <w:vertAlign w:val="superscript"/>
              </w:rPr>
              <w:t>?</w:t>
            </w:r>
          </w:p>
          <w:p w14:paraId="3CE373DE" w14:textId="77777777" w:rsidR="00924F59" w:rsidRDefault="00924F59" w:rsidP="000D4C20">
            <w:pPr>
              <w:pStyle w:val="ListParagraph"/>
              <w:ind w:left="0"/>
              <w:contextualSpacing w:val="0"/>
              <w:textAlignment w:val="baseline"/>
              <w:rPr>
                <w:rFonts w:ascii="Verdana" w:hAnsi="Verdana"/>
                <w:sz w:val="32"/>
                <w:szCs w:val="32"/>
                <w:vertAlign w:val="superscript"/>
              </w:rPr>
            </w:pPr>
          </w:p>
          <w:p w14:paraId="7CE0CD82" w14:textId="77777777" w:rsidR="00924F59" w:rsidRPr="00AC16D6" w:rsidRDefault="00924F59" w:rsidP="000D4C20">
            <w:pPr>
              <w:pStyle w:val="ListParagraph"/>
              <w:ind w:left="0"/>
              <w:contextualSpacing w:val="0"/>
              <w:textAlignment w:val="baseline"/>
              <w:rPr>
                <w:rFonts w:ascii="Verdana" w:hAnsi="Verdana"/>
                <w:sz w:val="32"/>
                <w:szCs w:val="32"/>
                <w:vertAlign w:val="superscript"/>
              </w:rPr>
            </w:pPr>
            <w:r w:rsidRPr="006146D2">
              <w:rPr>
                <w:rFonts w:ascii="Verdana" w:hAnsi="Verdana"/>
                <w:i/>
                <w:iCs/>
                <w:sz w:val="32"/>
                <w:szCs w:val="32"/>
                <w:vertAlign w:val="superscript"/>
              </w:rPr>
              <w:t xml:space="preserve">See Annex B of the </w:t>
            </w:r>
            <w:hyperlink r:id="rId22" w:history="1">
              <w:r w:rsidRPr="006146D2">
                <w:rPr>
                  <w:rStyle w:val="Hyperlink"/>
                  <w:rFonts w:ascii="Verdana" w:hAnsi="Verdana"/>
                  <w:i/>
                  <w:iCs/>
                  <w:sz w:val="32"/>
                  <w:szCs w:val="32"/>
                  <w:vertAlign w:val="superscript"/>
                </w:rPr>
                <w:t>Scottish Government Fair Work implementation guidance</w:t>
              </w:r>
            </w:hyperlink>
            <w:r w:rsidRPr="006146D2">
              <w:rPr>
                <w:rFonts w:ascii="Verdana" w:hAnsi="Verdana"/>
                <w:i/>
                <w:iCs/>
                <w:sz w:val="32"/>
                <w:szCs w:val="32"/>
                <w:vertAlign w:val="superscript"/>
              </w:rPr>
              <w:t xml:space="preserve"> for </w:t>
            </w:r>
            <w:r>
              <w:rPr>
                <w:rFonts w:ascii="Verdana" w:hAnsi="Verdana"/>
                <w:i/>
                <w:iCs/>
                <w:sz w:val="32"/>
                <w:szCs w:val="32"/>
                <w:vertAlign w:val="superscript"/>
              </w:rPr>
              <w:t>information on documentation.</w:t>
            </w:r>
          </w:p>
        </w:tc>
      </w:tr>
      <w:tr w:rsidR="00924F59" w14:paraId="49E49273" w14:textId="77777777" w:rsidTr="000D4C20">
        <w:tc>
          <w:tcPr>
            <w:tcW w:w="9016" w:type="dxa"/>
          </w:tcPr>
          <w:p w14:paraId="3D14A828" w14:textId="77777777" w:rsidR="00924F59" w:rsidRPr="00B70475" w:rsidRDefault="00924F59" w:rsidP="000D4C20">
            <w:pPr>
              <w:pStyle w:val="ListParagraph"/>
              <w:ind w:left="0"/>
              <w:contextualSpacing w:val="0"/>
              <w:textAlignment w:val="baseline"/>
              <w:rPr>
                <w:rFonts w:ascii="Verdana" w:hAnsi="Verdana"/>
                <w:b/>
                <w:bCs/>
              </w:rPr>
            </w:pPr>
            <w:r w:rsidRPr="00B70475">
              <w:rPr>
                <w:rFonts w:ascii="Verdana" w:hAnsi="Verdana"/>
                <w:b/>
                <w:bCs/>
              </w:rPr>
              <w:t>Response:</w:t>
            </w:r>
          </w:p>
          <w:sdt>
            <w:sdtPr>
              <w:rPr>
                <w:rFonts w:ascii="Verdana" w:hAnsi="Verdana"/>
                <w:sz w:val="44"/>
                <w:szCs w:val="44"/>
                <w:vertAlign w:val="superscript"/>
              </w:rPr>
              <w:id w:val="-773020561"/>
              <w:placeholder>
                <w:docPart w:val="EE1B6A03CFC2453E99E1E16FE96E9BF7"/>
              </w:placeholder>
              <w:showingPlcHdr/>
              <w:comboBox>
                <w:listItem w:value="Choose an item."/>
                <w:listItem w:displayText="YES - DOCUMENTATION HAS BEEN PROVIDED" w:value="YES - DOCUMENTATION HAS BEEN PROVIDED"/>
                <w:listItem w:displayText="NO" w:value="NO"/>
              </w:comboBox>
            </w:sdtPr>
            <w:sdtContent>
              <w:p w14:paraId="5C83DDE5" w14:textId="77777777" w:rsidR="00924F59" w:rsidRPr="00B70475" w:rsidRDefault="00924F59" w:rsidP="000D4C20">
                <w:pPr>
                  <w:pStyle w:val="ListParagraph"/>
                  <w:ind w:left="0"/>
                  <w:contextualSpacing w:val="0"/>
                  <w:textAlignment w:val="baseline"/>
                  <w:rPr>
                    <w:rFonts w:ascii="Verdana" w:hAnsi="Verdana"/>
                    <w:sz w:val="44"/>
                    <w:szCs w:val="44"/>
                    <w:vertAlign w:val="superscript"/>
                  </w:rPr>
                </w:pPr>
                <w:r w:rsidRPr="00AD0ED4">
                  <w:rPr>
                    <w:rStyle w:val="PlaceholderText"/>
                    <w:sz w:val="32"/>
                    <w:szCs w:val="32"/>
                  </w:rPr>
                  <w:t>Choose an item.</w:t>
                </w:r>
              </w:p>
            </w:sdtContent>
          </w:sdt>
        </w:tc>
      </w:tr>
    </w:tbl>
    <w:p w14:paraId="60D33412" w14:textId="77777777" w:rsidR="00924F59" w:rsidRDefault="00924F59" w:rsidP="00924F59">
      <w:pPr>
        <w:pStyle w:val="ListParagraph"/>
        <w:ind w:left="0"/>
        <w:contextualSpacing w:val="0"/>
        <w:textAlignment w:val="baseline"/>
        <w:rPr>
          <w:rFonts w:ascii="Verdana" w:hAnsi="Verdana"/>
          <w:b/>
          <w:bCs/>
          <w:sz w:val="28"/>
          <w:szCs w:val="28"/>
        </w:rPr>
      </w:pPr>
    </w:p>
    <w:p w14:paraId="21817EC4" w14:textId="77777777" w:rsidR="00924F59" w:rsidRDefault="00924F59" w:rsidP="00924F59">
      <w:pPr>
        <w:pStyle w:val="ListParagraph"/>
        <w:ind w:left="0"/>
        <w:contextualSpacing w:val="0"/>
        <w:textAlignment w:val="baseline"/>
        <w:rPr>
          <w:rFonts w:ascii="Verdana" w:hAnsi="Verdana"/>
          <w:b/>
          <w:bCs/>
          <w:sz w:val="28"/>
          <w:szCs w:val="28"/>
        </w:rPr>
      </w:pPr>
    </w:p>
    <w:tbl>
      <w:tblPr>
        <w:tblStyle w:val="TableGrid"/>
        <w:tblW w:w="0" w:type="auto"/>
        <w:tblLook w:val="04A0" w:firstRow="1" w:lastRow="0" w:firstColumn="1" w:lastColumn="0" w:noHBand="0" w:noVBand="1"/>
      </w:tblPr>
      <w:tblGrid>
        <w:gridCol w:w="9016"/>
      </w:tblGrid>
      <w:tr w:rsidR="00924F59" w14:paraId="269BD10B" w14:textId="77777777" w:rsidTr="000D4C20">
        <w:tc>
          <w:tcPr>
            <w:tcW w:w="9016" w:type="dxa"/>
            <w:shd w:val="clear" w:color="auto" w:fill="AEAAAA" w:themeFill="background2" w:themeFillShade="BF"/>
          </w:tcPr>
          <w:p w14:paraId="7FE8F213" w14:textId="77777777" w:rsidR="00924F59" w:rsidRDefault="00924F59" w:rsidP="000D4C20">
            <w:pPr>
              <w:pStyle w:val="ListParagraph"/>
              <w:ind w:left="0"/>
              <w:contextualSpacing w:val="0"/>
              <w:textAlignment w:val="baseline"/>
              <w:rPr>
                <w:rFonts w:ascii="Verdana" w:hAnsi="Verdana"/>
                <w:b/>
                <w:bCs/>
                <w:sz w:val="28"/>
                <w:szCs w:val="28"/>
              </w:rPr>
            </w:pPr>
            <w:r w:rsidRPr="00F66E58">
              <w:rPr>
                <w:rFonts w:ascii="Verdana" w:hAnsi="Verdana"/>
                <w:b/>
                <w:bCs/>
              </w:rPr>
              <w:t>Question 3</w:t>
            </w:r>
          </w:p>
        </w:tc>
      </w:tr>
      <w:tr w:rsidR="00924F59" w14:paraId="160FE585" w14:textId="77777777" w:rsidTr="000D4C20">
        <w:tc>
          <w:tcPr>
            <w:tcW w:w="9016" w:type="dxa"/>
          </w:tcPr>
          <w:p w14:paraId="42AF5C80" w14:textId="77777777" w:rsidR="00924F59" w:rsidRDefault="00924F59" w:rsidP="000D4C20">
            <w:pPr>
              <w:pStyle w:val="ListParagraph"/>
              <w:ind w:left="0"/>
              <w:contextualSpacing w:val="0"/>
              <w:textAlignment w:val="baseline"/>
              <w:rPr>
                <w:rFonts w:ascii="Verdana" w:hAnsi="Verdana"/>
                <w:sz w:val="32"/>
                <w:szCs w:val="32"/>
                <w:vertAlign w:val="superscript"/>
              </w:rPr>
            </w:pPr>
            <w:r w:rsidRPr="005B6D0B">
              <w:rPr>
                <w:rFonts w:ascii="Verdana" w:hAnsi="Verdana"/>
                <w:sz w:val="32"/>
                <w:szCs w:val="32"/>
                <w:vertAlign w:val="superscript"/>
              </w:rPr>
              <w:t xml:space="preserve">In line with </w:t>
            </w:r>
            <w:hyperlink r:id="rId23" w:history="1">
              <w:r w:rsidRPr="005B6D0B">
                <w:rPr>
                  <w:rStyle w:val="Hyperlink"/>
                  <w:rFonts w:ascii="Verdana" w:hAnsi="Verdana"/>
                  <w:sz w:val="32"/>
                  <w:szCs w:val="32"/>
                  <w:vertAlign w:val="superscript"/>
                </w:rPr>
                <w:t>Scottish Government guidance,</w:t>
              </w:r>
            </w:hyperlink>
            <w:r w:rsidRPr="005B6D0B">
              <w:rPr>
                <w:rFonts w:ascii="Verdana" w:hAnsi="Verdana"/>
                <w:sz w:val="32"/>
                <w:szCs w:val="32"/>
                <w:vertAlign w:val="superscript"/>
              </w:rPr>
              <w:t xml:space="preserve"> </w:t>
            </w:r>
            <w:r>
              <w:rPr>
                <w:rFonts w:ascii="Verdana" w:hAnsi="Verdana"/>
                <w:sz w:val="32"/>
                <w:szCs w:val="32"/>
                <w:vertAlign w:val="superscript"/>
              </w:rPr>
              <w:t>please</w:t>
            </w:r>
            <w:r w:rsidRPr="005B6D0B">
              <w:rPr>
                <w:rFonts w:ascii="Verdana" w:hAnsi="Verdana"/>
                <w:sz w:val="32"/>
                <w:szCs w:val="32"/>
                <w:vertAlign w:val="superscript"/>
              </w:rPr>
              <w:t xml:space="preserve"> confirm that Effective Voice for workers is in place in your organisation? </w:t>
            </w:r>
          </w:p>
          <w:p w14:paraId="5C7C7B9B" w14:textId="77777777" w:rsidR="00924F59" w:rsidRDefault="00924F59" w:rsidP="000D4C20">
            <w:pPr>
              <w:pStyle w:val="ListParagraph"/>
              <w:ind w:left="0"/>
              <w:contextualSpacing w:val="0"/>
              <w:textAlignment w:val="baseline"/>
              <w:rPr>
                <w:rFonts w:ascii="Verdana" w:hAnsi="Verdana"/>
                <w:sz w:val="32"/>
                <w:szCs w:val="32"/>
                <w:vertAlign w:val="superscript"/>
              </w:rPr>
            </w:pPr>
          </w:p>
          <w:p w14:paraId="2E9ED2BC" w14:textId="77777777" w:rsidR="00924F59" w:rsidRDefault="00924F59" w:rsidP="000D4C20">
            <w:pPr>
              <w:pStyle w:val="ListParagraph"/>
              <w:ind w:left="0"/>
              <w:contextualSpacing w:val="0"/>
              <w:textAlignment w:val="baseline"/>
              <w:rPr>
                <w:rFonts w:ascii="Verdana" w:hAnsi="Verdana"/>
                <w:i/>
                <w:iCs/>
                <w:sz w:val="32"/>
                <w:szCs w:val="32"/>
                <w:vertAlign w:val="superscript"/>
              </w:rPr>
            </w:pPr>
            <w:r w:rsidRPr="002038A1">
              <w:rPr>
                <w:rFonts w:ascii="Verdana" w:hAnsi="Verdana"/>
                <w:i/>
                <w:iCs/>
                <w:sz w:val="32"/>
                <w:szCs w:val="32"/>
                <w:vertAlign w:val="superscript"/>
              </w:rPr>
              <w:t>This can be aspects of ‘Individual’ voice (for organisations of fewer than 21 workers) and aspects of ‘Collective’ voice (for those with 21 workers or more)</w:t>
            </w:r>
            <w:r>
              <w:rPr>
                <w:rFonts w:ascii="Verdana" w:hAnsi="Verdana"/>
                <w:i/>
                <w:iCs/>
                <w:sz w:val="32"/>
                <w:szCs w:val="32"/>
                <w:vertAlign w:val="superscript"/>
              </w:rPr>
              <w:t>.</w:t>
            </w:r>
          </w:p>
          <w:p w14:paraId="1E073F94" w14:textId="77777777" w:rsidR="00924F59" w:rsidRDefault="00924F59" w:rsidP="000D4C20">
            <w:pPr>
              <w:pStyle w:val="ListParagraph"/>
              <w:ind w:left="0"/>
              <w:contextualSpacing w:val="0"/>
              <w:textAlignment w:val="baseline"/>
              <w:rPr>
                <w:rFonts w:ascii="Verdana" w:hAnsi="Verdana"/>
                <w:i/>
                <w:iCs/>
                <w:sz w:val="32"/>
                <w:szCs w:val="32"/>
                <w:vertAlign w:val="superscript"/>
              </w:rPr>
            </w:pPr>
          </w:p>
          <w:p w14:paraId="171EDCF8" w14:textId="77777777" w:rsidR="00924F59" w:rsidRPr="00F66E58" w:rsidRDefault="00924F59" w:rsidP="000D4C20">
            <w:pPr>
              <w:pStyle w:val="ListParagraph"/>
              <w:ind w:left="0"/>
              <w:contextualSpacing w:val="0"/>
              <w:textAlignment w:val="baseline"/>
              <w:rPr>
                <w:rFonts w:ascii="Verdana" w:hAnsi="Verdana"/>
                <w:i/>
                <w:iCs/>
                <w:sz w:val="32"/>
                <w:szCs w:val="32"/>
                <w:vertAlign w:val="superscript"/>
              </w:rPr>
            </w:pPr>
            <w:r w:rsidRPr="00A6543A">
              <w:rPr>
                <w:rFonts w:ascii="Verdana" w:hAnsi="Verdana"/>
                <w:i/>
                <w:iCs/>
                <w:sz w:val="32"/>
                <w:szCs w:val="32"/>
                <w:vertAlign w:val="superscript"/>
              </w:rPr>
              <w:t>Please note that we will not be able to progress contracting if you have answered no to this question. Please indicate the reasons why you are unable to provide Effective Voice in your organisation, and we will be in touch to discuss this with you</w:t>
            </w:r>
            <w:r>
              <w:rPr>
                <w:rFonts w:ascii="Verdana" w:hAnsi="Verdana"/>
                <w:i/>
                <w:iCs/>
                <w:sz w:val="32"/>
                <w:szCs w:val="32"/>
                <w:vertAlign w:val="superscript"/>
              </w:rPr>
              <w:t>.</w:t>
            </w:r>
          </w:p>
        </w:tc>
      </w:tr>
      <w:tr w:rsidR="00924F59" w14:paraId="637D173B" w14:textId="77777777" w:rsidTr="000D4C20">
        <w:tc>
          <w:tcPr>
            <w:tcW w:w="9016" w:type="dxa"/>
          </w:tcPr>
          <w:p w14:paraId="7AE4E778" w14:textId="77777777" w:rsidR="00924F59" w:rsidRPr="00F66E58" w:rsidRDefault="00924F59" w:rsidP="000D4C20">
            <w:pPr>
              <w:pStyle w:val="ListParagraph"/>
              <w:ind w:left="0"/>
              <w:contextualSpacing w:val="0"/>
              <w:textAlignment w:val="baseline"/>
              <w:rPr>
                <w:rFonts w:ascii="Verdana" w:hAnsi="Verdana"/>
                <w:b/>
                <w:bCs/>
              </w:rPr>
            </w:pPr>
            <w:r w:rsidRPr="00F66E58">
              <w:rPr>
                <w:rFonts w:ascii="Verdana" w:hAnsi="Verdana"/>
                <w:b/>
                <w:bCs/>
              </w:rPr>
              <w:t>Response:</w:t>
            </w:r>
          </w:p>
          <w:sdt>
            <w:sdtPr>
              <w:rPr>
                <w:rStyle w:val="FootnoteReference"/>
                <w:rFonts w:ascii="Verdana" w:hAnsi="Verdana"/>
                <w:sz w:val="44"/>
                <w:szCs w:val="44"/>
              </w:rPr>
              <w:id w:val="-485090037"/>
              <w:placeholder>
                <w:docPart w:val="9327AD1D045C4D3EB6099C2D44B0E01E"/>
              </w:placeholder>
              <w:showingPlcHdr/>
              <w15:color w:val="000000"/>
              <w:comboBox>
                <w:listItem w:value="Choose an item."/>
                <w:listItem w:displayText="YES" w:value="YES"/>
                <w:listItem w:displayText="NO" w:value="NO"/>
              </w:comboBox>
            </w:sdtPr>
            <w:sdtContent>
              <w:p w14:paraId="3A90E3BA" w14:textId="77777777" w:rsidR="00924F59" w:rsidRPr="00F66E58" w:rsidRDefault="00924F59" w:rsidP="000D4C20">
                <w:pPr>
                  <w:pStyle w:val="ListParagraph"/>
                  <w:ind w:left="0"/>
                  <w:contextualSpacing w:val="0"/>
                  <w:textAlignment w:val="baseline"/>
                  <w:rPr>
                    <w:rFonts w:ascii="Verdana" w:hAnsi="Verdana"/>
                    <w:sz w:val="44"/>
                    <w:szCs w:val="44"/>
                    <w:vertAlign w:val="superscript"/>
                  </w:rPr>
                </w:pPr>
                <w:r w:rsidRPr="00F66E58">
                  <w:rPr>
                    <w:rStyle w:val="PlaceholderText"/>
                    <w:sz w:val="32"/>
                    <w:szCs w:val="32"/>
                  </w:rPr>
                  <w:t>Choose an item.</w:t>
                </w:r>
              </w:p>
            </w:sdtContent>
          </w:sdt>
        </w:tc>
      </w:tr>
    </w:tbl>
    <w:p w14:paraId="50F12945" w14:textId="77777777" w:rsidR="00924F59" w:rsidRDefault="00924F59" w:rsidP="00924F59">
      <w:pPr>
        <w:pStyle w:val="ListParagraph"/>
        <w:ind w:left="0"/>
        <w:contextualSpacing w:val="0"/>
        <w:textAlignment w:val="baseline"/>
        <w:rPr>
          <w:rFonts w:ascii="Verdana" w:hAnsi="Verdana"/>
          <w:b/>
          <w:bCs/>
          <w:sz w:val="28"/>
          <w:szCs w:val="28"/>
        </w:rPr>
      </w:pPr>
    </w:p>
    <w:tbl>
      <w:tblPr>
        <w:tblStyle w:val="TableGrid"/>
        <w:tblW w:w="0" w:type="auto"/>
        <w:tblLook w:val="04A0" w:firstRow="1" w:lastRow="0" w:firstColumn="1" w:lastColumn="0" w:noHBand="0" w:noVBand="1"/>
      </w:tblPr>
      <w:tblGrid>
        <w:gridCol w:w="9016"/>
      </w:tblGrid>
      <w:tr w:rsidR="00924F59" w14:paraId="13D2F186" w14:textId="77777777" w:rsidTr="000D4C20">
        <w:tc>
          <w:tcPr>
            <w:tcW w:w="9016" w:type="dxa"/>
            <w:shd w:val="clear" w:color="auto" w:fill="AEAAAA" w:themeFill="background2" w:themeFillShade="BF"/>
          </w:tcPr>
          <w:p w14:paraId="4EC9190D" w14:textId="77777777" w:rsidR="00924F59" w:rsidRDefault="00924F59" w:rsidP="000D4C20">
            <w:pPr>
              <w:pStyle w:val="ListParagraph"/>
              <w:ind w:left="0"/>
              <w:contextualSpacing w:val="0"/>
              <w:textAlignment w:val="baseline"/>
              <w:rPr>
                <w:rFonts w:ascii="Verdana" w:hAnsi="Verdana"/>
                <w:b/>
                <w:bCs/>
                <w:sz w:val="28"/>
                <w:szCs w:val="28"/>
              </w:rPr>
            </w:pPr>
            <w:r w:rsidRPr="00836BD4">
              <w:rPr>
                <w:rFonts w:ascii="Verdana" w:hAnsi="Verdana"/>
                <w:b/>
                <w:bCs/>
              </w:rPr>
              <w:lastRenderedPageBreak/>
              <w:t>Question 4</w:t>
            </w:r>
          </w:p>
        </w:tc>
      </w:tr>
      <w:tr w:rsidR="00924F59" w14:paraId="390A5A19" w14:textId="77777777" w:rsidTr="000D4C20">
        <w:tc>
          <w:tcPr>
            <w:tcW w:w="9016" w:type="dxa"/>
          </w:tcPr>
          <w:p w14:paraId="1E886771" w14:textId="77777777" w:rsidR="00924F59" w:rsidRDefault="00924F59" w:rsidP="000D4C20">
            <w:pPr>
              <w:pStyle w:val="ListParagraph"/>
              <w:ind w:left="0"/>
              <w:contextualSpacing w:val="0"/>
              <w:textAlignment w:val="baseline"/>
              <w:rPr>
                <w:rFonts w:ascii="Verdana" w:hAnsi="Verdana"/>
                <w:sz w:val="28"/>
                <w:szCs w:val="28"/>
                <w:u w:val="single"/>
                <w:vertAlign w:val="superscript"/>
              </w:rPr>
            </w:pPr>
            <w:r w:rsidRPr="00581436">
              <w:rPr>
                <w:rFonts w:ascii="Verdana" w:hAnsi="Verdana"/>
                <w:b/>
                <w:bCs/>
                <w:sz w:val="28"/>
                <w:szCs w:val="28"/>
                <w:u w:val="single"/>
                <w:vertAlign w:val="superscript"/>
              </w:rPr>
              <w:t>IF YOU RESPONDED WITH ‘NO’ TO QUESTION 3, GO STRAIGHT TO QUESTION 5</w:t>
            </w:r>
            <w:r w:rsidRPr="00581436">
              <w:rPr>
                <w:rFonts w:ascii="Verdana" w:hAnsi="Verdana"/>
                <w:sz w:val="28"/>
                <w:szCs w:val="28"/>
                <w:u w:val="single"/>
                <w:vertAlign w:val="superscript"/>
              </w:rPr>
              <w:t xml:space="preserve">.  </w:t>
            </w:r>
          </w:p>
          <w:p w14:paraId="71F511A5" w14:textId="77777777" w:rsidR="00924F59" w:rsidRPr="00581436" w:rsidRDefault="00924F59" w:rsidP="000D4C20">
            <w:pPr>
              <w:pStyle w:val="ListParagraph"/>
              <w:ind w:left="0"/>
              <w:contextualSpacing w:val="0"/>
              <w:textAlignment w:val="baseline"/>
              <w:rPr>
                <w:rFonts w:ascii="Verdana" w:hAnsi="Verdana"/>
                <w:sz w:val="28"/>
                <w:szCs w:val="28"/>
                <w:u w:val="single"/>
                <w:vertAlign w:val="superscript"/>
              </w:rPr>
            </w:pPr>
          </w:p>
          <w:p w14:paraId="61B2DE9A" w14:textId="77777777" w:rsidR="00924F59" w:rsidRDefault="00924F59" w:rsidP="000D4C20">
            <w:pPr>
              <w:pStyle w:val="ListParagraph"/>
              <w:ind w:left="0"/>
              <w:contextualSpacing w:val="0"/>
              <w:textAlignment w:val="baseline"/>
              <w:rPr>
                <w:rFonts w:ascii="Verdana" w:hAnsi="Verdana"/>
                <w:b/>
                <w:bCs/>
                <w:sz w:val="28"/>
                <w:szCs w:val="28"/>
                <w:u w:val="single"/>
                <w:vertAlign w:val="superscript"/>
              </w:rPr>
            </w:pPr>
            <w:r w:rsidRPr="00581436">
              <w:rPr>
                <w:rFonts w:ascii="Verdana" w:hAnsi="Verdana"/>
                <w:b/>
                <w:bCs/>
                <w:sz w:val="28"/>
                <w:szCs w:val="28"/>
                <w:u w:val="single"/>
                <w:vertAlign w:val="superscript"/>
              </w:rPr>
              <w:t>IF YOU RESPONDED WITH ‘YES’ TO QUESTION 3, ANSWER THE FOLLOWING QUESTION:</w:t>
            </w:r>
          </w:p>
          <w:p w14:paraId="261296EF" w14:textId="77777777" w:rsidR="00924F59" w:rsidRPr="00581436" w:rsidRDefault="00924F59" w:rsidP="000D4C20">
            <w:pPr>
              <w:pStyle w:val="ListParagraph"/>
              <w:ind w:left="0"/>
              <w:contextualSpacing w:val="0"/>
              <w:textAlignment w:val="baseline"/>
              <w:rPr>
                <w:rFonts w:ascii="Verdana" w:hAnsi="Verdana"/>
                <w:b/>
                <w:bCs/>
                <w:sz w:val="28"/>
                <w:szCs w:val="28"/>
                <w:u w:val="single"/>
                <w:vertAlign w:val="superscript"/>
              </w:rPr>
            </w:pPr>
          </w:p>
          <w:p w14:paraId="32351243" w14:textId="77777777" w:rsidR="00924F59" w:rsidRPr="00836BD4" w:rsidRDefault="00924F59" w:rsidP="000D4C20">
            <w:pPr>
              <w:pStyle w:val="ListParagraph"/>
              <w:ind w:left="0"/>
              <w:contextualSpacing w:val="0"/>
              <w:textAlignment w:val="baseline"/>
              <w:rPr>
                <w:rFonts w:ascii="Verdana" w:hAnsi="Verdana"/>
                <w:b/>
                <w:bCs/>
                <w:sz w:val="32"/>
                <w:szCs w:val="32"/>
                <w:vertAlign w:val="superscript"/>
              </w:rPr>
            </w:pPr>
            <w:r w:rsidRPr="004A2934">
              <w:rPr>
                <w:rFonts w:ascii="Verdana" w:hAnsi="Verdana"/>
                <w:sz w:val="32"/>
                <w:szCs w:val="32"/>
                <w:vertAlign w:val="superscript"/>
              </w:rPr>
              <w:t xml:space="preserve">In line with </w:t>
            </w:r>
            <w:hyperlink r:id="rId24" w:history="1">
              <w:r w:rsidRPr="004A2934">
                <w:rPr>
                  <w:rStyle w:val="Hyperlink"/>
                  <w:rFonts w:ascii="Verdana" w:hAnsi="Verdana"/>
                  <w:sz w:val="32"/>
                  <w:szCs w:val="32"/>
                  <w:vertAlign w:val="superscript"/>
                </w:rPr>
                <w:t>Scottish Government guidance,</w:t>
              </w:r>
            </w:hyperlink>
            <w:r w:rsidRPr="004A2934">
              <w:rPr>
                <w:rFonts w:ascii="Verdana" w:hAnsi="Verdana"/>
                <w:sz w:val="32"/>
                <w:szCs w:val="32"/>
                <w:vertAlign w:val="superscript"/>
              </w:rPr>
              <w:t xml:space="preserve"> </w:t>
            </w:r>
            <w:r>
              <w:rPr>
                <w:rFonts w:ascii="Verdana" w:hAnsi="Verdana"/>
                <w:sz w:val="32"/>
                <w:szCs w:val="32"/>
                <w:vertAlign w:val="superscript"/>
              </w:rPr>
              <w:t>please</w:t>
            </w:r>
            <w:r w:rsidRPr="004A2934">
              <w:rPr>
                <w:rFonts w:ascii="Verdana" w:hAnsi="Verdana"/>
                <w:sz w:val="32"/>
                <w:szCs w:val="32"/>
                <w:vertAlign w:val="superscript"/>
              </w:rPr>
              <w:t xml:space="preserve"> confirm that your workforce representative has agreed that all workers employed within that organisation have access to effective voice channel?</w:t>
            </w:r>
          </w:p>
        </w:tc>
      </w:tr>
      <w:tr w:rsidR="00924F59" w14:paraId="1D7B5C29" w14:textId="77777777" w:rsidTr="000D4C20">
        <w:tc>
          <w:tcPr>
            <w:tcW w:w="9016" w:type="dxa"/>
          </w:tcPr>
          <w:p w14:paraId="5D2F4F0A" w14:textId="77777777" w:rsidR="00924F59" w:rsidRPr="00836BD4" w:rsidRDefault="00924F59" w:rsidP="000D4C20">
            <w:pPr>
              <w:pStyle w:val="ListParagraph"/>
              <w:ind w:left="0"/>
              <w:contextualSpacing w:val="0"/>
              <w:textAlignment w:val="baseline"/>
              <w:rPr>
                <w:rFonts w:ascii="Verdana" w:hAnsi="Verdana"/>
                <w:b/>
                <w:bCs/>
              </w:rPr>
            </w:pPr>
            <w:r w:rsidRPr="00836BD4">
              <w:rPr>
                <w:rFonts w:ascii="Verdana" w:hAnsi="Verdana"/>
                <w:b/>
                <w:bCs/>
              </w:rPr>
              <w:t>Response:</w:t>
            </w:r>
          </w:p>
          <w:sdt>
            <w:sdtPr>
              <w:rPr>
                <w:rStyle w:val="FootnoteReference"/>
                <w:rFonts w:ascii="Verdana" w:hAnsi="Verdana"/>
                <w:sz w:val="44"/>
                <w:szCs w:val="44"/>
              </w:rPr>
              <w:id w:val="-201720465"/>
              <w:placeholder>
                <w:docPart w:val="CA3F98D6CCBE4D6A9880771A51E19172"/>
              </w:placeholder>
              <w:showingPlcHdr/>
              <w15:color w:val="000000"/>
              <w:comboBox>
                <w:listItem w:value="Choose an item."/>
                <w:listItem w:displayText="YES" w:value="YES"/>
                <w:listItem w:displayText="NO" w:value="NO"/>
              </w:comboBox>
            </w:sdtPr>
            <w:sdtContent>
              <w:p w14:paraId="7AF82A4A" w14:textId="77777777" w:rsidR="00924F59" w:rsidRPr="00836BD4" w:rsidRDefault="00924F59" w:rsidP="000D4C20">
                <w:pPr>
                  <w:pStyle w:val="ListParagraph"/>
                  <w:ind w:left="0"/>
                  <w:contextualSpacing w:val="0"/>
                  <w:textAlignment w:val="baseline"/>
                  <w:rPr>
                    <w:rFonts w:ascii="Verdana" w:hAnsi="Verdana"/>
                    <w:sz w:val="44"/>
                    <w:szCs w:val="44"/>
                    <w:vertAlign w:val="superscript"/>
                  </w:rPr>
                </w:pPr>
                <w:r w:rsidRPr="00836BD4">
                  <w:rPr>
                    <w:rStyle w:val="PlaceholderText"/>
                    <w:sz w:val="32"/>
                    <w:szCs w:val="32"/>
                  </w:rPr>
                  <w:t>Choose an item.</w:t>
                </w:r>
              </w:p>
            </w:sdtContent>
          </w:sdt>
        </w:tc>
      </w:tr>
    </w:tbl>
    <w:p w14:paraId="208B4D5D" w14:textId="77777777" w:rsidR="00924F59" w:rsidRDefault="00924F59" w:rsidP="00924F59">
      <w:pPr>
        <w:pStyle w:val="ListParagraph"/>
        <w:ind w:left="0"/>
        <w:contextualSpacing w:val="0"/>
        <w:textAlignment w:val="baseline"/>
        <w:rPr>
          <w:rFonts w:ascii="Verdana" w:hAnsi="Verdana"/>
          <w:b/>
          <w:bCs/>
          <w:sz w:val="28"/>
          <w:szCs w:val="28"/>
        </w:rPr>
      </w:pPr>
    </w:p>
    <w:p w14:paraId="1B23B2AB" w14:textId="77777777" w:rsidR="00924F59" w:rsidRDefault="00924F59" w:rsidP="00924F59">
      <w:pPr>
        <w:pStyle w:val="ListParagraph"/>
        <w:ind w:left="0"/>
        <w:contextualSpacing w:val="0"/>
        <w:textAlignment w:val="baseline"/>
        <w:rPr>
          <w:rFonts w:ascii="Verdana" w:hAnsi="Verdana"/>
          <w:b/>
          <w:bCs/>
          <w:sz w:val="28"/>
          <w:szCs w:val="28"/>
        </w:rPr>
      </w:pPr>
    </w:p>
    <w:tbl>
      <w:tblPr>
        <w:tblStyle w:val="TableGrid"/>
        <w:tblW w:w="0" w:type="auto"/>
        <w:tblLook w:val="04A0" w:firstRow="1" w:lastRow="0" w:firstColumn="1" w:lastColumn="0" w:noHBand="0" w:noVBand="1"/>
      </w:tblPr>
      <w:tblGrid>
        <w:gridCol w:w="9016"/>
      </w:tblGrid>
      <w:tr w:rsidR="00924F59" w14:paraId="206261CA" w14:textId="77777777" w:rsidTr="000D4C20">
        <w:tc>
          <w:tcPr>
            <w:tcW w:w="9016" w:type="dxa"/>
            <w:shd w:val="clear" w:color="auto" w:fill="AEAAAA" w:themeFill="background2" w:themeFillShade="BF"/>
          </w:tcPr>
          <w:p w14:paraId="438A0158" w14:textId="77777777" w:rsidR="00924F59" w:rsidRDefault="00924F59" w:rsidP="000D4C20">
            <w:pPr>
              <w:pStyle w:val="ListParagraph"/>
              <w:ind w:left="0"/>
              <w:contextualSpacing w:val="0"/>
              <w:textAlignment w:val="baseline"/>
              <w:rPr>
                <w:rFonts w:ascii="Verdana" w:hAnsi="Verdana"/>
                <w:b/>
                <w:bCs/>
                <w:sz w:val="28"/>
                <w:szCs w:val="28"/>
              </w:rPr>
            </w:pPr>
            <w:r w:rsidRPr="00836BD4">
              <w:rPr>
                <w:rFonts w:ascii="Verdana" w:hAnsi="Verdana"/>
                <w:b/>
                <w:bCs/>
              </w:rPr>
              <w:t>Question 5</w:t>
            </w:r>
          </w:p>
        </w:tc>
      </w:tr>
      <w:tr w:rsidR="00924F59" w14:paraId="4C0161BA" w14:textId="77777777" w:rsidTr="000D4C20">
        <w:tc>
          <w:tcPr>
            <w:tcW w:w="9016" w:type="dxa"/>
          </w:tcPr>
          <w:p w14:paraId="794E4D88" w14:textId="77777777" w:rsidR="00924F59" w:rsidRPr="00AC16D6" w:rsidRDefault="00924F59" w:rsidP="000D4C20">
            <w:pPr>
              <w:pStyle w:val="ListParagraph"/>
              <w:ind w:left="0"/>
              <w:contextualSpacing w:val="0"/>
              <w:textAlignment w:val="baseline"/>
              <w:rPr>
                <w:rFonts w:ascii="Verdana" w:hAnsi="Verdana"/>
                <w:sz w:val="32"/>
                <w:szCs w:val="32"/>
                <w:vertAlign w:val="superscript"/>
              </w:rPr>
            </w:pPr>
            <w:r w:rsidRPr="00AB70AE">
              <w:rPr>
                <w:rFonts w:ascii="Verdana" w:hAnsi="Verdana"/>
                <w:sz w:val="32"/>
                <w:szCs w:val="32"/>
                <w:vertAlign w:val="superscript"/>
              </w:rPr>
              <w:t>Does your organisation use zero-hours contracts for any workers?</w:t>
            </w:r>
          </w:p>
        </w:tc>
      </w:tr>
      <w:tr w:rsidR="00924F59" w14:paraId="757077D7" w14:textId="77777777" w:rsidTr="000D4C20">
        <w:tc>
          <w:tcPr>
            <w:tcW w:w="9016" w:type="dxa"/>
          </w:tcPr>
          <w:p w14:paraId="6C0EF835" w14:textId="77777777" w:rsidR="00924F59" w:rsidRPr="00836BD4" w:rsidRDefault="00924F59" w:rsidP="000D4C20">
            <w:pPr>
              <w:pStyle w:val="ListParagraph"/>
              <w:ind w:left="0"/>
              <w:contextualSpacing w:val="0"/>
              <w:textAlignment w:val="baseline"/>
              <w:rPr>
                <w:rFonts w:ascii="Verdana" w:hAnsi="Verdana"/>
                <w:b/>
                <w:bCs/>
              </w:rPr>
            </w:pPr>
            <w:r w:rsidRPr="00836BD4">
              <w:rPr>
                <w:rFonts w:ascii="Verdana" w:hAnsi="Verdana"/>
                <w:b/>
                <w:bCs/>
              </w:rPr>
              <w:t>Response:</w:t>
            </w:r>
          </w:p>
          <w:sdt>
            <w:sdtPr>
              <w:rPr>
                <w:rStyle w:val="FootnoteReference"/>
                <w:rFonts w:ascii="Verdana" w:hAnsi="Verdana"/>
                <w:sz w:val="44"/>
                <w:szCs w:val="44"/>
              </w:rPr>
              <w:id w:val="-739788090"/>
              <w:placeholder>
                <w:docPart w:val="5462E8CDE7054DC0A4CAD1EE496687D6"/>
              </w:placeholder>
              <w:showingPlcHdr/>
              <w15:color w:val="000000"/>
              <w:comboBox>
                <w:listItem w:value="Choose an item."/>
                <w:listItem w:displayText="YES" w:value="YES"/>
                <w:listItem w:displayText="NO" w:value="NO"/>
              </w:comboBox>
            </w:sdtPr>
            <w:sdtContent>
              <w:p w14:paraId="1554E8B7" w14:textId="77777777" w:rsidR="00924F59" w:rsidRPr="00836BD4" w:rsidRDefault="00924F59" w:rsidP="000D4C20">
                <w:pPr>
                  <w:pStyle w:val="ListParagraph"/>
                  <w:ind w:left="0"/>
                  <w:contextualSpacing w:val="0"/>
                  <w:textAlignment w:val="baseline"/>
                  <w:rPr>
                    <w:rFonts w:ascii="Verdana" w:hAnsi="Verdana"/>
                    <w:sz w:val="44"/>
                    <w:szCs w:val="44"/>
                    <w:vertAlign w:val="superscript"/>
                  </w:rPr>
                </w:pPr>
                <w:r w:rsidRPr="00836BD4">
                  <w:rPr>
                    <w:rStyle w:val="PlaceholderText"/>
                    <w:sz w:val="32"/>
                    <w:szCs w:val="32"/>
                  </w:rPr>
                  <w:t>Choose an item.</w:t>
                </w:r>
              </w:p>
            </w:sdtContent>
          </w:sdt>
        </w:tc>
      </w:tr>
      <w:tr w:rsidR="00924F59" w14:paraId="32A1C00D" w14:textId="77777777" w:rsidTr="000D4C20">
        <w:tc>
          <w:tcPr>
            <w:tcW w:w="9016" w:type="dxa"/>
          </w:tcPr>
          <w:p w14:paraId="76B25841" w14:textId="77777777" w:rsidR="00924F59" w:rsidRDefault="00924F59" w:rsidP="000D4C20">
            <w:pPr>
              <w:pStyle w:val="ListParagraph"/>
              <w:ind w:left="0"/>
              <w:textAlignment w:val="baseline"/>
              <w:rPr>
                <w:rFonts w:ascii="Verdana" w:hAnsi="Verdana"/>
                <w:sz w:val="32"/>
                <w:szCs w:val="32"/>
                <w:vertAlign w:val="superscript"/>
              </w:rPr>
            </w:pPr>
            <w:r w:rsidRPr="002E2B8F">
              <w:rPr>
                <w:rFonts w:ascii="Verdana" w:hAnsi="Verdana"/>
                <w:b/>
                <w:bCs/>
                <w:sz w:val="32"/>
                <w:szCs w:val="32"/>
                <w:vertAlign w:val="superscript"/>
              </w:rPr>
              <w:t>IF YES</w:t>
            </w:r>
            <w:r>
              <w:rPr>
                <w:rFonts w:ascii="Verdana" w:hAnsi="Verdana"/>
                <w:b/>
                <w:bCs/>
                <w:sz w:val="32"/>
                <w:szCs w:val="32"/>
                <w:vertAlign w:val="superscript"/>
              </w:rPr>
              <w:t>,</w:t>
            </w:r>
            <w:r>
              <w:rPr>
                <w:rFonts w:ascii="Verdana" w:hAnsi="Verdana"/>
                <w:sz w:val="32"/>
                <w:szCs w:val="32"/>
                <w:vertAlign w:val="superscript"/>
              </w:rPr>
              <w:t xml:space="preserve"> p</w:t>
            </w:r>
            <w:r w:rsidRPr="002E2B8F">
              <w:rPr>
                <w:rFonts w:ascii="Verdana" w:hAnsi="Verdana"/>
                <w:sz w:val="32"/>
                <w:szCs w:val="32"/>
                <w:vertAlign w:val="superscript"/>
              </w:rPr>
              <w:t>lease explain why the use of zero-hours contracts is appropriate for your organisation</w:t>
            </w:r>
            <w:r>
              <w:rPr>
                <w:rFonts w:ascii="Verdana" w:hAnsi="Verdana"/>
                <w:sz w:val="32"/>
                <w:szCs w:val="32"/>
                <w:vertAlign w:val="superscript"/>
              </w:rPr>
              <w:t>:</w:t>
            </w:r>
          </w:p>
          <w:p w14:paraId="32F0BE35" w14:textId="77777777" w:rsidR="00924F59" w:rsidRDefault="00924F59" w:rsidP="000D4C20">
            <w:pPr>
              <w:pStyle w:val="ListParagraph"/>
              <w:ind w:left="0"/>
              <w:textAlignment w:val="baseline"/>
              <w:rPr>
                <w:rFonts w:ascii="Verdana" w:hAnsi="Verdana"/>
                <w:sz w:val="32"/>
                <w:szCs w:val="32"/>
                <w:vertAlign w:val="superscript"/>
              </w:rPr>
            </w:pPr>
          </w:p>
          <w:p w14:paraId="58BDD630" w14:textId="77777777" w:rsidR="00924F59" w:rsidRDefault="00924F59" w:rsidP="000D4C20">
            <w:pPr>
              <w:pStyle w:val="ListParagraph"/>
              <w:ind w:left="0"/>
              <w:textAlignment w:val="baseline"/>
              <w:rPr>
                <w:rFonts w:ascii="Verdana" w:hAnsi="Verdana"/>
                <w:sz w:val="32"/>
                <w:szCs w:val="32"/>
                <w:vertAlign w:val="superscript"/>
              </w:rPr>
            </w:pPr>
          </w:p>
          <w:p w14:paraId="05CECE9A" w14:textId="77777777" w:rsidR="00924F59" w:rsidRDefault="00924F59" w:rsidP="000D4C20">
            <w:pPr>
              <w:pStyle w:val="ListParagraph"/>
              <w:ind w:left="0"/>
              <w:textAlignment w:val="baseline"/>
              <w:rPr>
                <w:rFonts w:ascii="Verdana" w:hAnsi="Verdana"/>
                <w:sz w:val="32"/>
                <w:szCs w:val="32"/>
                <w:vertAlign w:val="superscript"/>
              </w:rPr>
            </w:pPr>
          </w:p>
          <w:p w14:paraId="69D89148" w14:textId="77777777" w:rsidR="00924F59" w:rsidRDefault="00924F59" w:rsidP="000D4C20">
            <w:pPr>
              <w:pStyle w:val="ListParagraph"/>
              <w:ind w:left="0"/>
              <w:textAlignment w:val="baseline"/>
              <w:rPr>
                <w:rFonts w:ascii="Verdana" w:hAnsi="Verdana"/>
                <w:sz w:val="32"/>
                <w:szCs w:val="32"/>
                <w:vertAlign w:val="superscript"/>
              </w:rPr>
            </w:pPr>
          </w:p>
          <w:p w14:paraId="344A5EDC" w14:textId="77777777" w:rsidR="00924F59" w:rsidRDefault="00924F59" w:rsidP="000D4C20">
            <w:pPr>
              <w:pStyle w:val="ListParagraph"/>
              <w:ind w:left="0"/>
              <w:textAlignment w:val="baseline"/>
              <w:rPr>
                <w:rFonts w:ascii="Verdana" w:hAnsi="Verdana"/>
                <w:sz w:val="32"/>
                <w:szCs w:val="32"/>
                <w:vertAlign w:val="superscript"/>
              </w:rPr>
            </w:pPr>
          </w:p>
          <w:p w14:paraId="2425E063" w14:textId="77777777" w:rsidR="00924F59" w:rsidRDefault="00924F59" w:rsidP="000D4C20">
            <w:pPr>
              <w:pStyle w:val="ListParagraph"/>
              <w:ind w:left="0"/>
              <w:textAlignment w:val="baseline"/>
              <w:rPr>
                <w:rFonts w:ascii="Verdana" w:hAnsi="Verdana"/>
                <w:sz w:val="32"/>
                <w:szCs w:val="32"/>
                <w:vertAlign w:val="superscript"/>
              </w:rPr>
            </w:pPr>
          </w:p>
          <w:p w14:paraId="5C1DEDDC" w14:textId="77777777" w:rsidR="00924F59" w:rsidRDefault="00924F59" w:rsidP="000D4C20">
            <w:pPr>
              <w:pStyle w:val="ListParagraph"/>
              <w:ind w:left="0"/>
              <w:textAlignment w:val="baseline"/>
              <w:rPr>
                <w:rFonts w:ascii="Verdana" w:hAnsi="Verdana"/>
                <w:sz w:val="32"/>
                <w:szCs w:val="32"/>
                <w:vertAlign w:val="superscript"/>
              </w:rPr>
            </w:pPr>
          </w:p>
          <w:p w14:paraId="033AFE19" w14:textId="77777777" w:rsidR="00924F59" w:rsidRDefault="00924F59" w:rsidP="000D4C20">
            <w:pPr>
              <w:pStyle w:val="ListParagraph"/>
              <w:ind w:left="0"/>
              <w:textAlignment w:val="baseline"/>
              <w:rPr>
                <w:rFonts w:ascii="Verdana" w:hAnsi="Verdana"/>
                <w:sz w:val="32"/>
                <w:szCs w:val="32"/>
                <w:vertAlign w:val="superscript"/>
              </w:rPr>
            </w:pPr>
          </w:p>
          <w:p w14:paraId="0932AB26" w14:textId="77777777" w:rsidR="00924F59" w:rsidRDefault="00924F59" w:rsidP="000D4C20">
            <w:pPr>
              <w:pStyle w:val="ListParagraph"/>
              <w:ind w:left="0"/>
              <w:textAlignment w:val="baseline"/>
              <w:rPr>
                <w:rFonts w:ascii="Verdana" w:hAnsi="Verdana"/>
                <w:sz w:val="32"/>
                <w:szCs w:val="32"/>
                <w:vertAlign w:val="superscript"/>
              </w:rPr>
            </w:pPr>
          </w:p>
          <w:p w14:paraId="77DC8EC5" w14:textId="77777777" w:rsidR="00924F59" w:rsidRDefault="00924F59" w:rsidP="000D4C20">
            <w:pPr>
              <w:pStyle w:val="ListParagraph"/>
              <w:ind w:left="0"/>
              <w:textAlignment w:val="baseline"/>
              <w:rPr>
                <w:rFonts w:ascii="Verdana" w:hAnsi="Verdana"/>
                <w:sz w:val="32"/>
                <w:szCs w:val="32"/>
                <w:vertAlign w:val="superscript"/>
              </w:rPr>
            </w:pPr>
          </w:p>
          <w:p w14:paraId="635E14B7" w14:textId="77777777" w:rsidR="00924F59" w:rsidRDefault="00924F59" w:rsidP="000D4C20">
            <w:pPr>
              <w:pStyle w:val="ListParagraph"/>
              <w:ind w:left="0"/>
              <w:textAlignment w:val="baseline"/>
              <w:rPr>
                <w:rFonts w:ascii="Verdana" w:hAnsi="Verdana"/>
                <w:sz w:val="32"/>
                <w:szCs w:val="32"/>
                <w:vertAlign w:val="superscript"/>
              </w:rPr>
            </w:pPr>
          </w:p>
          <w:p w14:paraId="2B4D9676" w14:textId="77777777" w:rsidR="00924F59" w:rsidRDefault="00924F59" w:rsidP="000D4C20">
            <w:pPr>
              <w:pStyle w:val="ListParagraph"/>
              <w:ind w:left="0"/>
              <w:textAlignment w:val="baseline"/>
              <w:rPr>
                <w:rFonts w:ascii="Verdana" w:hAnsi="Verdana"/>
                <w:sz w:val="32"/>
                <w:szCs w:val="32"/>
                <w:vertAlign w:val="superscript"/>
              </w:rPr>
            </w:pPr>
          </w:p>
          <w:p w14:paraId="5A91E882" w14:textId="77777777" w:rsidR="00924F59" w:rsidRPr="002E2B8F" w:rsidRDefault="00924F59" w:rsidP="000D4C20">
            <w:pPr>
              <w:pStyle w:val="ListParagraph"/>
              <w:ind w:left="0"/>
              <w:textAlignment w:val="baseline"/>
              <w:rPr>
                <w:rFonts w:ascii="Verdana" w:hAnsi="Verdana"/>
                <w:b/>
                <w:bCs/>
                <w:sz w:val="32"/>
                <w:szCs w:val="32"/>
                <w:vertAlign w:val="superscript"/>
              </w:rPr>
            </w:pPr>
            <w:r w:rsidRPr="002E2B8F">
              <w:rPr>
                <w:rFonts w:ascii="Verdana" w:hAnsi="Verdana"/>
                <w:sz w:val="32"/>
                <w:szCs w:val="32"/>
                <w:vertAlign w:val="superscript"/>
              </w:rPr>
              <w:t xml:space="preserve"> </w:t>
            </w:r>
          </w:p>
          <w:p w14:paraId="2A91B38C" w14:textId="77777777" w:rsidR="00924F59" w:rsidRDefault="00924F59" w:rsidP="000D4C20">
            <w:pPr>
              <w:pStyle w:val="ListParagraph"/>
              <w:ind w:left="0"/>
              <w:contextualSpacing w:val="0"/>
              <w:textAlignment w:val="baseline"/>
              <w:rPr>
                <w:rFonts w:ascii="Verdana" w:hAnsi="Verdana"/>
                <w:b/>
                <w:bCs/>
                <w:sz w:val="28"/>
                <w:szCs w:val="28"/>
              </w:rPr>
            </w:pPr>
          </w:p>
        </w:tc>
      </w:tr>
    </w:tbl>
    <w:p w14:paraId="0251836D" w14:textId="77777777" w:rsidR="00924F59" w:rsidRDefault="00924F59" w:rsidP="00924F59">
      <w:pPr>
        <w:pStyle w:val="ListParagraph"/>
        <w:ind w:left="0"/>
        <w:contextualSpacing w:val="0"/>
        <w:textAlignment w:val="baseline"/>
        <w:rPr>
          <w:rFonts w:ascii="Verdana" w:hAnsi="Verdana"/>
          <w:b/>
          <w:bCs/>
          <w:sz w:val="28"/>
          <w:szCs w:val="28"/>
        </w:rPr>
      </w:pPr>
    </w:p>
    <w:p w14:paraId="0C2B91C4" w14:textId="77777777" w:rsidR="00924F59" w:rsidRDefault="00924F59" w:rsidP="00924F59">
      <w:pPr>
        <w:pStyle w:val="ListParagraph"/>
        <w:ind w:left="0"/>
        <w:contextualSpacing w:val="0"/>
        <w:textAlignment w:val="baseline"/>
        <w:rPr>
          <w:rFonts w:ascii="Verdana" w:hAnsi="Verdana"/>
          <w:b/>
          <w:bCs/>
          <w:sz w:val="28"/>
          <w:szCs w:val="28"/>
        </w:rPr>
      </w:pPr>
      <w:r>
        <w:rPr>
          <w:b/>
          <w:bCs/>
          <w:sz w:val="28"/>
          <w:szCs w:val="28"/>
        </w:rPr>
        <w:t>Please note that t</w:t>
      </w:r>
      <w:r w:rsidRPr="00660060">
        <w:rPr>
          <w:b/>
          <w:bCs/>
          <w:sz w:val="28"/>
          <w:szCs w:val="28"/>
        </w:rPr>
        <w:t>he above responses and evidence will form part of you</w:t>
      </w:r>
      <w:r>
        <w:rPr>
          <w:b/>
          <w:bCs/>
          <w:sz w:val="28"/>
          <w:szCs w:val="28"/>
        </w:rPr>
        <w:t>r</w:t>
      </w:r>
      <w:r w:rsidRPr="00660060">
        <w:rPr>
          <w:b/>
          <w:bCs/>
          <w:sz w:val="28"/>
          <w:szCs w:val="28"/>
        </w:rPr>
        <w:t xml:space="preserve"> funding agreement and, if subsequently found to be materially incorrect, could result in a breach of this agreement.</w:t>
      </w:r>
    </w:p>
    <w:p w14:paraId="7E83C346" w14:textId="77777777" w:rsidR="00924F59" w:rsidRDefault="00924F59" w:rsidP="00924F59">
      <w:pPr>
        <w:rPr>
          <w:rFonts w:ascii="Calibri" w:eastAsia="Times New Roman" w:hAnsi="Calibri" w:cs="Calibri"/>
          <w:color w:val="212121"/>
          <w:lang w:eastAsia="en-GB"/>
        </w:rPr>
      </w:pPr>
    </w:p>
    <w:p w14:paraId="2F70EDEB" w14:textId="77777777" w:rsidR="00115DDF" w:rsidRDefault="00115DDF"/>
    <w:sectPr w:rsidR="00115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1C6C"/>
    <w:multiLevelType w:val="hybridMultilevel"/>
    <w:tmpl w:val="03E2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8713E"/>
    <w:multiLevelType w:val="hybridMultilevel"/>
    <w:tmpl w:val="2E5E2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5929112">
    <w:abstractNumId w:val="1"/>
  </w:num>
  <w:num w:numId="2" w16cid:durableId="32790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59"/>
    <w:rsid w:val="00115DDF"/>
    <w:rsid w:val="0028690A"/>
    <w:rsid w:val="003D343D"/>
    <w:rsid w:val="00677E83"/>
    <w:rsid w:val="008A534F"/>
    <w:rsid w:val="00924F59"/>
    <w:rsid w:val="00AD6055"/>
    <w:rsid w:val="00BD5281"/>
    <w:rsid w:val="00F6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CBE2"/>
  <w15:chartTrackingRefBased/>
  <w15:docId w15:val="{BBD3E341-0364-497F-B737-558AAB57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59"/>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59"/>
    <w:pPr>
      <w:ind w:left="720"/>
      <w:contextualSpacing/>
    </w:pPr>
  </w:style>
  <w:style w:type="character" w:styleId="Hyperlink">
    <w:name w:val="Hyperlink"/>
    <w:basedOn w:val="DefaultParagraphFont"/>
    <w:uiPriority w:val="99"/>
    <w:unhideWhenUsed/>
    <w:rsid w:val="00924F59"/>
    <w:rPr>
      <w:color w:val="0000FF"/>
      <w:u w:val="single"/>
    </w:rPr>
  </w:style>
  <w:style w:type="paragraph" w:styleId="NormalWeb">
    <w:name w:val="Normal (Web)"/>
    <w:basedOn w:val="Normal"/>
    <w:uiPriority w:val="99"/>
    <w:semiHidden/>
    <w:unhideWhenUsed/>
    <w:rsid w:val="00924F59"/>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924F59"/>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924F59"/>
    <w:rPr>
      <w:vertAlign w:val="superscript"/>
    </w:rPr>
  </w:style>
  <w:style w:type="character" w:styleId="PlaceholderText">
    <w:name w:val="Placeholder Text"/>
    <w:basedOn w:val="DefaultParagraphFont"/>
    <w:uiPriority w:val="99"/>
    <w:semiHidden/>
    <w:rsid w:val="00924F59"/>
    <w:rPr>
      <w:color w:val="808080"/>
    </w:rPr>
  </w:style>
  <w:style w:type="table" w:styleId="TableGrid">
    <w:name w:val="Table Grid"/>
    <w:basedOn w:val="TableNormal"/>
    <w:uiPriority w:val="39"/>
    <w:rsid w:val="00924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6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vescotland.com/resources-publications/publications/policies/creative-scotland-fair-work-statement" TargetMode="External"/><Relationship Id="rId13" Type="http://schemas.openxmlformats.org/officeDocument/2006/relationships/image" Target="media/image2.png"/><Relationship Id="rId18" Type="http://schemas.openxmlformats.org/officeDocument/2006/relationships/hyperlink" Target="https://www.creativescotland.com/privacy-policy"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gov.scot/publications/fair-work-first-guidance-2/" TargetMode="External"/><Relationship Id="rId7" Type="http://schemas.openxmlformats.org/officeDocument/2006/relationships/hyperlink" Target="https://scottishlivingwage.org/" TargetMode="External"/><Relationship Id="rId12" Type="http://schemas.openxmlformats.org/officeDocument/2006/relationships/hyperlink" Target="mailto:fairwork@creativescotland.com" TargetMode="External"/><Relationship Id="rId17" Type="http://schemas.openxmlformats.org/officeDocument/2006/relationships/hyperlink" Target="https://www.creativescotland.com/about/strategy/fair-wor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gov.scot/publications/fair-work-first-guidance-2/" TargetMode="External"/><Relationship Id="rId1" Type="http://schemas.openxmlformats.org/officeDocument/2006/relationships/numbering" Target="numbering.xml"/><Relationship Id="rId6" Type="http://schemas.openxmlformats.org/officeDocument/2006/relationships/hyperlink" Target="https://www.gov.scot/publications/fair-work-first-guidance-2/" TargetMode="External"/><Relationship Id="rId11" Type="http://schemas.openxmlformats.org/officeDocument/2006/relationships/hyperlink" Target="https://www.creativescotland.com/resources-publications/guides-toolkits/the-illustrated-freelancers-guide" TargetMode="External"/><Relationship Id="rId24" Type="http://schemas.openxmlformats.org/officeDocument/2006/relationships/hyperlink" Target="https://www.gov.scot/publications/fair-work-first-guidance-2/" TargetMode="External"/><Relationship Id="rId5" Type="http://schemas.openxmlformats.org/officeDocument/2006/relationships/image" Target="media/image1.png"/><Relationship Id="rId15" Type="http://schemas.openxmlformats.org/officeDocument/2006/relationships/image" Target="media/image4.emf"/><Relationship Id="rId23" Type="http://schemas.openxmlformats.org/officeDocument/2006/relationships/hyperlink" Target="https://www.gov.scot/publications/fair-work-first-guidance-2/" TargetMode="External"/><Relationship Id="rId10" Type="http://schemas.openxmlformats.org/officeDocument/2006/relationships/hyperlink" Target="https://www.creativescotland.com/about/strategy/fair-work/fairer-recruitment-guide" TargetMode="External"/><Relationship Id="rId19" Type="http://schemas.openxmlformats.org/officeDocument/2006/relationships/hyperlink" Target="mailto:fairwork@creativescotland.com" TargetMode="External"/><Relationship Id="rId4" Type="http://schemas.openxmlformats.org/officeDocument/2006/relationships/webSettings" Target="webSettings.xml"/><Relationship Id="rId9" Type="http://schemas.openxmlformats.org/officeDocument/2006/relationships/hyperlink" Target="https://www.creativescotland.com/resources-publications/guides-toolkits/the-illustrated-fair-work-employer-guide" TargetMode="External"/><Relationship Id="rId14" Type="http://schemas.openxmlformats.org/officeDocument/2006/relationships/image" Target="media/image3.emf"/><Relationship Id="rId22" Type="http://schemas.openxmlformats.org/officeDocument/2006/relationships/hyperlink" Target="https://www.gov.scot/binaries/content/documents/govscot/publications/advice-and-guidance/2023/03/fair-work-first-guidance-2/documents/fair-work-first-guidance-supporting-implementation-fair-work-first-workplaces-scotland/fair-work-first-guidance-supporting-implementation-fair-work-first-workplaces-scotland/govscot%3Adocument/fair-work-first-guidance-supporting-implementation-fair-work-first-workplaces-scotland.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D1F8E6D7E46FDBCF0F419564A04B2"/>
        <w:category>
          <w:name w:val="General"/>
          <w:gallery w:val="placeholder"/>
        </w:category>
        <w:types>
          <w:type w:val="bbPlcHdr"/>
        </w:types>
        <w:behaviors>
          <w:behavior w:val="content"/>
        </w:behaviors>
        <w:guid w:val="{0A949872-6A20-4233-BABD-D329EC4383B1}"/>
      </w:docPartPr>
      <w:docPartBody>
        <w:p w:rsidR="00184D1D" w:rsidRDefault="00612074" w:rsidP="00612074">
          <w:pPr>
            <w:pStyle w:val="63CD1F8E6D7E46FDBCF0F419564A04B2"/>
          </w:pPr>
          <w:r w:rsidRPr="00087834">
            <w:rPr>
              <w:rStyle w:val="PlaceholderText"/>
            </w:rPr>
            <w:t>Choose an item.</w:t>
          </w:r>
        </w:p>
      </w:docPartBody>
    </w:docPart>
    <w:docPart>
      <w:docPartPr>
        <w:name w:val="EE1B6A03CFC2453E99E1E16FE96E9BF7"/>
        <w:category>
          <w:name w:val="General"/>
          <w:gallery w:val="placeholder"/>
        </w:category>
        <w:types>
          <w:type w:val="bbPlcHdr"/>
        </w:types>
        <w:behaviors>
          <w:behavior w:val="content"/>
        </w:behaviors>
        <w:guid w:val="{A49DE1C7-73E4-4D03-B194-3239254C6CD1}"/>
      </w:docPartPr>
      <w:docPartBody>
        <w:p w:rsidR="00184D1D" w:rsidRDefault="00612074" w:rsidP="00612074">
          <w:pPr>
            <w:pStyle w:val="EE1B6A03CFC2453E99E1E16FE96E9BF7"/>
          </w:pPr>
          <w:r w:rsidRPr="00C0051C">
            <w:rPr>
              <w:rStyle w:val="PlaceholderText"/>
            </w:rPr>
            <w:t>Choose an item.</w:t>
          </w:r>
        </w:p>
      </w:docPartBody>
    </w:docPart>
    <w:docPart>
      <w:docPartPr>
        <w:name w:val="9327AD1D045C4D3EB6099C2D44B0E01E"/>
        <w:category>
          <w:name w:val="General"/>
          <w:gallery w:val="placeholder"/>
        </w:category>
        <w:types>
          <w:type w:val="bbPlcHdr"/>
        </w:types>
        <w:behaviors>
          <w:behavior w:val="content"/>
        </w:behaviors>
        <w:guid w:val="{04D9DAB3-6407-4543-91B1-EAEF95744284}"/>
      </w:docPartPr>
      <w:docPartBody>
        <w:p w:rsidR="00184D1D" w:rsidRDefault="00612074" w:rsidP="00612074">
          <w:pPr>
            <w:pStyle w:val="9327AD1D045C4D3EB6099C2D44B0E01E"/>
          </w:pPr>
          <w:r w:rsidRPr="00087834">
            <w:rPr>
              <w:rStyle w:val="PlaceholderText"/>
            </w:rPr>
            <w:t>Choose an item.</w:t>
          </w:r>
        </w:p>
      </w:docPartBody>
    </w:docPart>
    <w:docPart>
      <w:docPartPr>
        <w:name w:val="CA3F98D6CCBE4D6A9880771A51E19172"/>
        <w:category>
          <w:name w:val="General"/>
          <w:gallery w:val="placeholder"/>
        </w:category>
        <w:types>
          <w:type w:val="bbPlcHdr"/>
        </w:types>
        <w:behaviors>
          <w:behavior w:val="content"/>
        </w:behaviors>
        <w:guid w:val="{7DB785FB-7299-46F9-8558-87F04200DD65}"/>
      </w:docPartPr>
      <w:docPartBody>
        <w:p w:rsidR="00184D1D" w:rsidRDefault="00612074" w:rsidP="00612074">
          <w:pPr>
            <w:pStyle w:val="CA3F98D6CCBE4D6A9880771A51E19172"/>
          </w:pPr>
          <w:r w:rsidRPr="00087834">
            <w:rPr>
              <w:rStyle w:val="PlaceholderText"/>
            </w:rPr>
            <w:t>Choose an item.</w:t>
          </w:r>
        </w:p>
      </w:docPartBody>
    </w:docPart>
    <w:docPart>
      <w:docPartPr>
        <w:name w:val="5462E8CDE7054DC0A4CAD1EE496687D6"/>
        <w:category>
          <w:name w:val="General"/>
          <w:gallery w:val="placeholder"/>
        </w:category>
        <w:types>
          <w:type w:val="bbPlcHdr"/>
        </w:types>
        <w:behaviors>
          <w:behavior w:val="content"/>
        </w:behaviors>
        <w:guid w:val="{FBDD9D1E-476E-4E6B-A4DB-9EEF98FAFF66}"/>
      </w:docPartPr>
      <w:docPartBody>
        <w:p w:rsidR="00184D1D" w:rsidRDefault="00612074" w:rsidP="00612074">
          <w:pPr>
            <w:pStyle w:val="5462E8CDE7054DC0A4CAD1EE496687D6"/>
          </w:pPr>
          <w:r w:rsidRPr="000878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74"/>
    <w:rsid w:val="00184D1D"/>
    <w:rsid w:val="003B5D9B"/>
    <w:rsid w:val="00612074"/>
    <w:rsid w:val="00E9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074"/>
    <w:rPr>
      <w:color w:val="808080"/>
    </w:rPr>
  </w:style>
  <w:style w:type="paragraph" w:customStyle="1" w:styleId="63CD1F8E6D7E46FDBCF0F419564A04B2">
    <w:name w:val="63CD1F8E6D7E46FDBCF0F419564A04B2"/>
    <w:rsid w:val="00612074"/>
  </w:style>
  <w:style w:type="paragraph" w:customStyle="1" w:styleId="EE1B6A03CFC2453E99E1E16FE96E9BF7">
    <w:name w:val="EE1B6A03CFC2453E99E1E16FE96E9BF7"/>
    <w:rsid w:val="00612074"/>
  </w:style>
  <w:style w:type="paragraph" w:customStyle="1" w:styleId="9327AD1D045C4D3EB6099C2D44B0E01E">
    <w:name w:val="9327AD1D045C4D3EB6099C2D44B0E01E"/>
    <w:rsid w:val="00612074"/>
  </w:style>
  <w:style w:type="paragraph" w:customStyle="1" w:styleId="CA3F98D6CCBE4D6A9880771A51E19172">
    <w:name w:val="CA3F98D6CCBE4D6A9880771A51E19172"/>
    <w:rsid w:val="00612074"/>
  </w:style>
  <w:style w:type="paragraph" w:customStyle="1" w:styleId="5462E8CDE7054DC0A4CAD1EE496687D6">
    <w:name w:val="5462E8CDE7054DC0A4CAD1EE496687D6"/>
    <w:rsid w:val="00612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McLinden</dc:creator>
  <cp:keywords/>
  <dc:description/>
  <cp:lastModifiedBy>Sophie Craik</cp:lastModifiedBy>
  <cp:revision>3</cp:revision>
  <dcterms:created xsi:type="dcterms:W3CDTF">2023-11-17T10:40:00Z</dcterms:created>
  <dcterms:modified xsi:type="dcterms:W3CDTF">2024-01-15T21:10:00Z</dcterms:modified>
</cp:coreProperties>
</file>